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90ADC6">
      <w:pPr>
        <w:keepNext w:val="0"/>
        <w:keepLines w:val="0"/>
        <w:pageBreakBefore w:val="0"/>
        <w:wordWrap/>
        <w:overflowPunct/>
        <w:topLinePunct w:val="0"/>
        <w:bidi w:val="0"/>
        <w:spacing w:before="153" w:line="221" w:lineRule="auto"/>
        <w:ind w:left="842"/>
        <w:jc w:val="both"/>
        <w:rPr>
          <w:rFonts w:hint="default" w:ascii="Times New Roman" w:hAnsi="Times New Roman" w:eastAsia="黑体" w:cs="Times New Roman"/>
          <w:b/>
          <w:bCs/>
          <w:color w:val="auto"/>
          <w:spacing w:val="2"/>
          <w:sz w:val="47"/>
          <w:szCs w:val="47"/>
        </w:rPr>
      </w:pPr>
    </w:p>
    <w:p w14:paraId="5D9793A6">
      <w:pPr>
        <w:keepNext w:val="0"/>
        <w:keepLines w:val="0"/>
        <w:pageBreakBefore w:val="0"/>
        <w:wordWrap/>
        <w:overflowPunct/>
        <w:topLinePunct w:val="0"/>
        <w:bidi w:val="0"/>
        <w:spacing w:before="153" w:line="221" w:lineRule="auto"/>
        <w:ind w:left="842"/>
        <w:jc w:val="both"/>
        <w:rPr>
          <w:rFonts w:hint="default" w:ascii="Times New Roman" w:hAnsi="Times New Roman" w:eastAsia="黑体" w:cs="Times New Roman"/>
          <w:b/>
          <w:bCs/>
          <w:color w:val="auto"/>
          <w:spacing w:val="2"/>
          <w:sz w:val="47"/>
          <w:szCs w:val="47"/>
        </w:rPr>
      </w:pPr>
    </w:p>
    <w:p w14:paraId="4F0C19F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default" w:ascii="Times New Roman" w:hAnsi="Times New Roman" w:eastAsia="方正小标宋简体" w:cs="Times New Roman"/>
          <w:color w:val="auto"/>
          <w:sz w:val="47"/>
          <w:szCs w:val="47"/>
        </w:rPr>
      </w:pPr>
      <w:r>
        <w:rPr>
          <w:rFonts w:hint="default" w:ascii="Times New Roman" w:hAnsi="Times New Roman" w:eastAsia="方正小标宋简体" w:cs="Times New Roman"/>
          <w:b/>
          <w:bCs/>
          <w:color w:val="auto"/>
          <w:spacing w:val="2"/>
          <w:sz w:val="47"/>
          <w:szCs w:val="47"/>
        </w:rPr>
        <w:t>衡阳市部门整体支出绩效评价报告</w:t>
      </w:r>
    </w:p>
    <w:p w14:paraId="27F07CE4">
      <w:pPr>
        <w:keepNext w:val="0"/>
        <w:keepLines w:val="0"/>
        <w:pageBreakBefore w:val="0"/>
        <w:wordWrap/>
        <w:overflowPunct/>
        <w:topLinePunct w:val="0"/>
        <w:bidi w:val="0"/>
        <w:spacing w:line="251" w:lineRule="auto"/>
        <w:jc w:val="both"/>
        <w:rPr>
          <w:rFonts w:hint="default" w:ascii="Times New Roman" w:hAnsi="Times New Roman" w:cs="Times New Roman"/>
          <w:color w:val="auto"/>
          <w:sz w:val="21"/>
        </w:rPr>
      </w:pPr>
    </w:p>
    <w:p w14:paraId="7CE3CF06">
      <w:pPr>
        <w:keepNext w:val="0"/>
        <w:keepLines w:val="0"/>
        <w:pageBreakBefore w:val="0"/>
        <w:wordWrap/>
        <w:overflowPunct/>
        <w:topLinePunct w:val="0"/>
        <w:bidi w:val="0"/>
        <w:spacing w:line="251" w:lineRule="auto"/>
        <w:jc w:val="both"/>
        <w:rPr>
          <w:rFonts w:hint="default" w:ascii="Times New Roman" w:hAnsi="Times New Roman" w:cs="Times New Roman"/>
          <w:color w:val="auto"/>
          <w:sz w:val="21"/>
        </w:rPr>
      </w:pPr>
    </w:p>
    <w:p w14:paraId="0027EBBD">
      <w:pPr>
        <w:keepNext w:val="0"/>
        <w:keepLines w:val="0"/>
        <w:pageBreakBefore w:val="0"/>
        <w:wordWrap/>
        <w:overflowPunct/>
        <w:topLinePunct w:val="0"/>
        <w:bidi w:val="0"/>
        <w:spacing w:line="251" w:lineRule="auto"/>
        <w:jc w:val="both"/>
        <w:rPr>
          <w:rFonts w:hint="default" w:ascii="Times New Roman" w:hAnsi="Times New Roman" w:cs="Times New Roman"/>
          <w:color w:val="auto"/>
          <w:sz w:val="21"/>
        </w:rPr>
      </w:pPr>
    </w:p>
    <w:p w14:paraId="05BF77B9">
      <w:pPr>
        <w:keepNext w:val="0"/>
        <w:keepLines w:val="0"/>
        <w:pageBreakBefore w:val="0"/>
        <w:wordWrap/>
        <w:overflowPunct/>
        <w:topLinePunct w:val="0"/>
        <w:bidi w:val="0"/>
        <w:spacing w:line="251" w:lineRule="auto"/>
        <w:jc w:val="both"/>
        <w:rPr>
          <w:rFonts w:hint="default" w:ascii="Times New Roman" w:hAnsi="Times New Roman" w:cs="Times New Roman"/>
          <w:color w:val="auto"/>
          <w:sz w:val="21"/>
        </w:rPr>
      </w:pPr>
    </w:p>
    <w:p w14:paraId="664EC707">
      <w:pPr>
        <w:keepNext w:val="0"/>
        <w:keepLines w:val="0"/>
        <w:pageBreakBefore w:val="0"/>
        <w:wordWrap/>
        <w:overflowPunct/>
        <w:topLinePunct w:val="0"/>
        <w:bidi w:val="0"/>
        <w:spacing w:line="252" w:lineRule="auto"/>
        <w:jc w:val="both"/>
        <w:rPr>
          <w:rFonts w:hint="default" w:ascii="Times New Roman" w:hAnsi="Times New Roman" w:cs="Times New Roman"/>
          <w:color w:val="auto"/>
          <w:sz w:val="21"/>
        </w:rPr>
      </w:pPr>
    </w:p>
    <w:p w14:paraId="0DD4FE59">
      <w:pPr>
        <w:keepNext w:val="0"/>
        <w:keepLines w:val="0"/>
        <w:pageBreakBefore w:val="0"/>
        <w:widowControl/>
        <w:kinsoku w:val="0"/>
        <w:wordWrap/>
        <w:overflowPunct/>
        <w:topLinePunct w:val="0"/>
        <w:autoSpaceDE w:val="0"/>
        <w:autoSpaceDN w:val="0"/>
        <w:bidi w:val="0"/>
        <w:adjustRightInd w:val="0"/>
        <w:snapToGrid w:val="0"/>
        <w:spacing w:line="600" w:lineRule="auto"/>
        <w:jc w:val="both"/>
        <w:textAlignment w:val="baseline"/>
        <w:rPr>
          <w:rFonts w:hint="default" w:ascii="Times New Roman" w:hAnsi="Times New Roman" w:eastAsia="MS Gothic" w:cs="Times New Roman"/>
          <w:color w:val="auto"/>
          <w:sz w:val="32"/>
          <w:szCs w:val="32"/>
        </w:rPr>
      </w:pPr>
      <w:r>
        <w:rPr>
          <w:rFonts w:hint="default" w:ascii="Times New Roman" w:hAnsi="Times New Roman" w:eastAsia="仿宋" w:cs="Times New Roman"/>
          <w:b/>
          <w:bCs/>
          <w:color w:val="auto"/>
          <w:spacing w:val="3"/>
          <w:sz w:val="32"/>
          <w:szCs w:val="32"/>
        </w:rPr>
        <w:t>评价项目类型：</w:t>
      </w:r>
      <w:r>
        <w:rPr>
          <w:rFonts w:hint="default" w:ascii="Times New Roman" w:hAnsi="Times New Roman" w:eastAsia="仿宋" w:cs="Times New Roman"/>
          <w:color w:val="auto"/>
          <w:spacing w:val="3"/>
          <w:sz w:val="32"/>
          <w:szCs w:val="32"/>
        </w:rPr>
        <w:t>项目实施过程评价□项目完成结果评价</w:t>
      </w:r>
      <w:r>
        <w:rPr>
          <w:rFonts w:hint="default" w:ascii="Times New Roman" w:hAnsi="Times New Roman" w:eastAsia="MS Gothic" w:cs="Times New Roman"/>
          <w:color w:val="auto"/>
          <w:spacing w:val="3"/>
          <w:sz w:val="32"/>
          <w:szCs w:val="32"/>
        </w:rPr>
        <w:t>☑</w:t>
      </w:r>
    </w:p>
    <w:p w14:paraId="6CCF398D">
      <w:pPr>
        <w:keepNext w:val="0"/>
        <w:keepLines w:val="0"/>
        <w:pageBreakBefore w:val="0"/>
        <w:widowControl/>
        <w:kinsoku w:val="0"/>
        <w:wordWrap/>
        <w:overflowPunct/>
        <w:topLinePunct w:val="0"/>
        <w:autoSpaceDE w:val="0"/>
        <w:autoSpaceDN w:val="0"/>
        <w:bidi w:val="0"/>
        <w:adjustRightInd w:val="0"/>
        <w:snapToGrid w:val="0"/>
        <w:spacing w:line="600" w:lineRule="auto"/>
        <w:jc w:val="both"/>
        <w:textAlignment w:val="baseline"/>
        <w:rPr>
          <w:rFonts w:hint="default" w:ascii="Times New Roman" w:hAnsi="Times New Roman" w:eastAsia="仿宋" w:cs="Times New Roman"/>
          <w:color w:val="auto"/>
          <w:spacing w:val="23"/>
          <w:sz w:val="32"/>
          <w:szCs w:val="32"/>
          <w:u w:val="single" w:color="auto"/>
          <w:lang w:val="en-US" w:eastAsia="zh-CN"/>
        </w:rPr>
      </w:pPr>
      <w:r>
        <w:rPr>
          <w:rFonts w:hint="default" w:ascii="Times New Roman" w:hAnsi="Times New Roman" w:eastAsia="仿宋" w:cs="Times New Roman"/>
          <w:b/>
          <w:bCs/>
          <w:color w:val="auto"/>
          <w:spacing w:val="0"/>
          <w:sz w:val="32"/>
          <w:szCs w:val="32"/>
        </w:rPr>
        <w:t>评价项目名称：</w:t>
      </w:r>
      <w:r>
        <w:rPr>
          <w:rFonts w:hint="default" w:ascii="Times New Roman" w:hAnsi="Times New Roman" w:eastAsia="仿宋" w:cs="Times New Roman"/>
          <w:b/>
          <w:bCs/>
          <w:color w:val="auto"/>
          <w:spacing w:val="0"/>
          <w:sz w:val="32"/>
          <w:szCs w:val="32"/>
          <w:u w:val="single" w:color="auto"/>
          <w:lang w:val="en-US" w:eastAsia="zh-CN"/>
        </w:rPr>
        <w:t xml:space="preserve">        </w:t>
      </w:r>
      <w:r>
        <w:rPr>
          <w:rFonts w:hint="default" w:ascii="Times New Roman" w:hAnsi="Times New Roman" w:eastAsia="仿宋" w:cs="Times New Roman"/>
          <w:color w:val="auto"/>
          <w:spacing w:val="23"/>
          <w:sz w:val="32"/>
          <w:szCs w:val="32"/>
          <w:u w:val="single" w:color="auto"/>
        </w:rPr>
        <w:t>202</w:t>
      </w:r>
      <w:r>
        <w:rPr>
          <w:rFonts w:hint="default" w:ascii="Times New Roman" w:hAnsi="Times New Roman" w:eastAsia="仿宋" w:cs="Times New Roman"/>
          <w:color w:val="auto"/>
          <w:spacing w:val="23"/>
          <w:sz w:val="32"/>
          <w:szCs w:val="32"/>
          <w:u w:val="single" w:color="auto"/>
          <w:lang w:val="en-US" w:eastAsia="zh-CN"/>
        </w:rPr>
        <w:t>2</w:t>
      </w:r>
      <w:r>
        <w:rPr>
          <w:rFonts w:hint="default" w:ascii="Times New Roman" w:hAnsi="Times New Roman" w:eastAsia="仿宋" w:cs="Times New Roman"/>
          <w:color w:val="auto"/>
          <w:spacing w:val="23"/>
          <w:sz w:val="32"/>
          <w:szCs w:val="32"/>
          <w:u w:val="single" w:color="auto"/>
        </w:rPr>
        <w:t>年</w:t>
      </w:r>
      <w:r>
        <w:rPr>
          <w:rFonts w:hint="default" w:ascii="Times New Roman" w:hAnsi="Times New Roman" w:eastAsia="仿宋" w:cs="Times New Roman"/>
          <w:color w:val="auto"/>
          <w:spacing w:val="23"/>
          <w:sz w:val="32"/>
          <w:szCs w:val="32"/>
          <w:u w:val="single" w:color="auto"/>
          <w:lang w:val="en-US" w:eastAsia="zh-CN"/>
        </w:rPr>
        <w:t xml:space="preserve">度衡阳技师学院         </w:t>
      </w:r>
    </w:p>
    <w:p w14:paraId="7C9053C5">
      <w:pPr>
        <w:keepNext w:val="0"/>
        <w:keepLines w:val="0"/>
        <w:pageBreakBefore w:val="0"/>
        <w:widowControl/>
        <w:kinsoku w:val="0"/>
        <w:wordWrap/>
        <w:overflowPunct/>
        <w:topLinePunct w:val="0"/>
        <w:autoSpaceDE w:val="0"/>
        <w:autoSpaceDN w:val="0"/>
        <w:bidi w:val="0"/>
        <w:adjustRightInd w:val="0"/>
        <w:snapToGrid w:val="0"/>
        <w:spacing w:line="600" w:lineRule="auto"/>
        <w:ind w:firstLine="2249" w:firstLineChars="700"/>
        <w:jc w:val="both"/>
        <w:textAlignment w:val="baseline"/>
        <w:rPr>
          <w:rFonts w:hint="default" w:ascii="Times New Roman" w:hAnsi="Times New Roman" w:eastAsia="仿宋" w:cs="Times New Roman"/>
          <w:color w:val="auto"/>
          <w:spacing w:val="23"/>
          <w:sz w:val="32"/>
          <w:szCs w:val="32"/>
          <w:u w:val="single" w:color="auto"/>
          <w:lang w:val="en-US" w:eastAsia="zh-CN"/>
        </w:rPr>
      </w:pPr>
      <w:r>
        <w:rPr>
          <w:rFonts w:hint="default" w:ascii="Times New Roman" w:hAnsi="Times New Roman" w:eastAsia="仿宋" w:cs="Times New Roman"/>
          <w:b/>
          <w:bCs/>
          <w:color w:val="auto"/>
          <w:spacing w:val="0"/>
          <w:sz w:val="32"/>
          <w:szCs w:val="32"/>
          <w:u w:val="single" w:color="auto"/>
          <w:lang w:val="en-US" w:eastAsia="zh-CN"/>
        </w:rPr>
        <w:t xml:space="preserve">        </w:t>
      </w:r>
      <w:r>
        <w:rPr>
          <w:rFonts w:hint="default" w:ascii="Times New Roman" w:hAnsi="Times New Roman" w:eastAsia="仿宋" w:cs="Times New Roman"/>
          <w:color w:val="auto"/>
          <w:spacing w:val="23"/>
          <w:sz w:val="32"/>
          <w:szCs w:val="32"/>
          <w:u w:val="single" w:color="auto"/>
          <w:lang w:val="en-US" w:eastAsia="zh-CN"/>
        </w:rPr>
        <w:t xml:space="preserve">部门整体支出绩效评价              </w:t>
      </w:r>
    </w:p>
    <w:p w14:paraId="7DBB3AF1">
      <w:pPr>
        <w:keepNext w:val="0"/>
        <w:keepLines w:val="0"/>
        <w:pageBreakBefore w:val="0"/>
        <w:widowControl/>
        <w:kinsoku w:val="0"/>
        <w:wordWrap/>
        <w:overflowPunct/>
        <w:topLinePunct w:val="0"/>
        <w:autoSpaceDE w:val="0"/>
        <w:autoSpaceDN w:val="0"/>
        <w:bidi w:val="0"/>
        <w:adjustRightInd w:val="0"/>
        <w:snapToGrid w:val="0"/>
        <w:spacing w:line="600" w:lineRule="auto"/>
        <w:jc w:val="both"/>
        <w:textAlignment w:val="baseline"/>
        <w:rPr>
          <w:rFonts w:hint="default" w:ascii="Times New Roman" w:hAnsi="Times New Roman" w:eastAsia="仿宋" w:cs="Times New Roman"/>
          <w:color w:val="auto"/>
          <w:spacing w:val="53"/>
          <w:sz w:val="32"/>
          <w:szCs w:val="32"/>
          <w:u w:val="single" w:color="auto"/>
          <w:lang w:val="en-US" w:eastAsia="zh-CN"/>
        </w:rPr>
      </w:pPr>
      <w:r>
        <w:rPr>
          <w:rFonts w:hint="default" w:ascii="Times New Roman" w:hAnsi="Times New Roman" w:eastAsia="仿宋" w:cs="Times New Roman"/>
          <w:b/>
          <w:bCs/>
          <w:color w:val="auto"/>
          <w:spacing w:val="0"/>
          <w:sz w:val="32"/>
          <w:szCs w:val="32"/>
        </w:rPr>
        <w:t>评价项目单位：</w:t>
      </w:r>
      <w:r>
        <w:rPr>
          <w:rFonts w:hint="default" w:ascii="Times New Roman" w:hAnsi="Times New Roman" w:eastAsia="仿宋" w:cs="Times New Roman"/>
          <w:b/>
          <w:bCs/>
          <w:color w:val="auto"/>
          <w:spacing w:val="0"/>
          <w:sz w:val="32"/>
          <w:szCs w:val="32"/>
          <w:u w:val="single"/>
          <w:lang w:val="en-US" w:eastAsia="zh-CN"/>
        </w:rPr>
        <w:t xml:space="preserve">         </w:t>
      </w:r>
      <w:r>
        <w:rPr>
          <w:rFonts w:hint="default" w:ascii="Times New Roman" w:hAnsi="Times New Roman" w:eastAsia="仿宋" w:cs="Times New Roman"/>
          <w:color w:val="auto"/>
          <w:spacing w:val="53"/>
          <w:sz w:val="32"/>
          <w:szCs w:val="32"/>
          <w:u w:val="single" w:color="auto"/>
          <w:lang w:val="en-US" w:eastAsia="zh-CN"/>
        </w:rPr>
        <w:t xml:space="preserve">衡阳技师学院              </w:t>
      </w:r>
    </w:p>
    <w:p w14:paraId="14957601">
      <w:pPr>
        <w:keepNext w:val="0"/>
        <w:keepLines w:val="0"/>
        <w:pageBreakBefore w:val="0"/>
        <w:widowControl/>
        <w:kinsoku w:val="0"/>
        <w:wordWrap/>
        <w:overflowPunct/>
        <w:topLinePunct w:val="0"/>
        <w:autoSpaceDE w:val="0"/>
        <w:autoSpaceDN w:val="0"/>
        <w:bidi w:val="0"/>
        <w:adjustRightInd w:val="0"/>
        <w:snapToGrid w:val="0"/>
        <w:spacing w:line="600" w:lineRule="auto"/>
        <w:jc w:val="both"/>
        <w:textAlignment w:val="baseline"/>
        <w:rPr>
          <w:rFonts w:hint="default" w:ascii="Times New Roman" w:hAnsi="Times New Roman" w:eastAsia="仿宋" w:cs="Times New Roman"/>
          <w:b/>
          <w:bCs/>
          <w:color w:val="auto"/>
          <w:spacing w:val="0"/>
          <w:sz w:val="32"/>
          <w:szCs w:val="32"/>
          <w:u w:val="single"/>
          <w:lang w:val="en-US" w:eastAsia="zh-CN"/>
        </w:rPr>
      </w:pPr>
      <w:r>
        <w:rPr>
          <w:rFonts w:hint="default" w:ascii="Times New Roman" w:hAnsi="Times New Roman" w:eastAsia="仿宋" w:cs="Times New Roman"/>
          <w:b/>
          <w:bCs/>
          <w:color w:val="auto"/>
          <w:spacing w:val="0"/>
          <w:sz w:val="32"/>
          <w:szCs w:val="32"/>
        </w:rPr>
        <w:t>项目资金额度：</w:t>
      </w:r>
      <w:r>
        <w:rPr>
          <w:rFonts w:hint="default" w:ascii="Times New Roman" w:hAnsi="Times New Roman" w:eastAsia="仿宋" w:cs="Times New Roman"/>
          <w:color w:val="auto"/>
          <w:spacing w:val="4"/>
          <w:sz w:val="32"/>
          <w:szCs w:val="32"/>
          <w:u w:val="single" w:color="auto"/>
        </w:rPr>
        <w:t xml:space="preserve">    </w:t>
      </w:r>
      <w:r>
        <w:rPr>
          <w:rFonts w:hint="default" w:ascii="Times New Roman" w:hAnsi="Times New Roman" w:eastAsia="仿宋" w:cs="Times New Roman"/>
          <w:b/>
          <w:bCs/>
          <w:color w:val="auto"/>
          <w:spacing w:val="0"/>
          <w:sz w:val="32"/>
          <w:szCs w:val="32"/>
          <w:u w:val="single"/>
          <w:lang w:val="en-US" w:eastAsia="zh-CN"/>
        </w:rPr>
        <w:t xml:space="preserve">     </w:t>
      </w:r>
      <w:r>
        <w:rPr>
          <w:rFonts w:hint="default" w:ascii="Times New Roman" w:hAnsi="Times New Roman" w:eastAsia="仿宋" w:cs="Times New Roman"/>
          <w:color w:val="auto"/>
          <w:spacing w:val="53"/>
          <w:sz w:val="32"/>
          <w:szCs w:val="32"/>
          <w:u w:val="single" w:color="auto"/>
          <w:lang w:val="en-US" w:eastAsia="zh-CN"/>
        </w:rPr>
        <w:t xml:space="preserve"> </w:t>
      </w:r>
      <w:r>
        <w:rPr>
          <w:rFonts w:hint="default" w:ascii="Times New Roman" w:hAnsi="Times New Roman" w:eastAsia="仿宋" w:cs="Times New Roman"/>
          <w:b/>
          <w:bCs/>
          <w:color w:val="auto"/>
          <w:spacing w:val="0"/>
          <w:sz w:val="32"/>
          <w:szCs w:val="32"/>
          <w:u w:val="single" w:color="auto"/>
          <w:lang w:val="en-US" w:eastAsia="zh-CN"/>
        </w:rPr>
        <w:t>24,292.17万元</w:t>
      </w:r>
      <w:r>
        <w:rPr>
          <w:rFonts w:hint="default" w:ascii="Times New Roman" w:hAnsi="Times New Roman" w:eastAsia="仿宋" w:cs="Times New Roman"/>
          <w:color w:val="auto"/>
          <w:spacing w:val="53"/>
          <w:sz w:val="32"/>
          <w:szCs w:val="32"/>
          <w:u w:val="single" w:color="auto"/>
          <w:lang w:val="en-US" w:eastAsia="zh-CN"/>
        </w:rPr>
        <w:t xml:space="preserve">   </w:t>
      </w:r>
      <w:r>
        <w:rPr>
          <w:rFonts w:hint="default" w:ascii="Times New Roman" w:hAnsi="Times New Roman" w:eastAsia="仿宋" w:cs="Times New Roman"/>
          <w:b/>
          <w:bCs/>
          <w:color w:val="auto"/>
          <w:spacing w:val="0"/>
          <w:sz w:val="32"/>
          <w:szCs w:val="32"/>
          <w:u w:val="single"/>
          <w:lang w:val="en-US" w:eastAsia="zh-CN"/>
        </w:rPr>
        <w:t xml:space="preserve">                </w:t>
      </w:r>
    </w:p>
    <w:p w14:paraId="7C4CB217">
      <w:pPr>
        <w:keepNext w:val="0"/>
        <w:keepLines w:val="0"/>
        <w:pageBreakBefore w:val="0"/>
        <w:widowControl/>
        <w:kinsoku w:val="0"/>
        <w:wordWrap/>
        <w:overflowPunct/>
        <w:topLinePunct w:val="0"/>
        <w:autoSpaceDE w:val="0"/>
        <w:autoSpaceDN w:val="0"/>
        <w:bidi w:val="0"/>
        <w:adjustRightInd w:val="0"/>
        <w:snapToGrid w:val="0"/>
        <w:spacing w:line="600" w:lineRule="auto"/>
        <w:jc w:val="both"/>
        <w:textAlignment w:val="baseline"/>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b/>
          <w:bCs/>
          <w:color w:val="auto"/>
          <w:spacing w:val="0"/>
          <w:sz w:val="32"/>
          <w:szCs w:val="32"/>
        </w:rPr>
        <w:t>项目主管部门：</w:t>
      </w:r>
      <w:r>
        <w:rPr>
          <w:rFonts w:hint="default" w:ascii="Times New Roman" w:hAnsi="Times New Roman" w:eastAsia="仿宋" w:cs="Times New Roman"/>
          <w:color w:val="auto"/>
          <w:spacing w:val="9"/>
          <w:sz w:val="32"/>
          <w:szCs w:val="32"/>
          <w:u w:val="single" w:color="auto"/>
        </w:rPr>
        <w:t xml:space="preserve">  </w:t>
      </w:r>
      <w:r>
        <w:rPr>
          <w:rFonts w:hint="default" w:ascii="Times New Roman" w:hAnsi="Times New Roman" w:eastAsia="仿宋" w:cs="Times New Roman"/>
          <w:color w:val="auto"/>
          <w:spacing w:val="9"/>
          <w:sz w:val="32"/>
          <w:szCs w:val="32"/>
          <w:u w:val="single" w:color="auto"/>
          <w:lang w:val="en-US" w:eastAsia="zh-CN"/>
        </w:rPr>
        <w:t xml:space="preserve"> </w:t>
      </w:r>
      <w:r>
        <w:rPr>
          <w:rFonts w:hint="default" w:ascii="Times New Roman" w:hAnsi="Times New Roman" w:eastAsia="仿宋" w:cs="Times New Roman"/>
          <w:color w:val="auto"/>
          <w:spacing w:val="9"/>
          <w:sz w:val="32"/>
          <w:szCs w:val="32"/>
          <w:u w:val="single" w:color="auto"/>
        </w:rPr>
        <w:t xml:space="preserve">  </w:t>
      </w:r>
      <w:r>
        <w:rPr>
          <w:rFonts w:hint="default" w:ascii="Times New Roman" w:hAnsi="Times New Roman" w:eastAsia="仿宋" w:cs="Times New Roman"/>
          <w:color w:val="auto"/>
          <w:spacing w:val="9"/>
          <w:sz w:val="32"/>
          <w:szCs w:val="32"/>
          <w:u w:val="single" w:color="auto"/>
          <w:lang w:val="en-US" w:eastAsia="zh-CN"/>
        </w:rPr>
        <w:t xml:space="preserve">   </w:t>
      </w:r>
      <w:r>
        <w:rPr>
          <w:rFonts w:hint="default" w:ascii="Times New Roman" w:hAnsi="Times New Roman" w:eastAsia="仿宋" w:cs="Times New Roman"/>
          <w:color w:val="auto"/>
          <w:spacing w:val="20"/>
          <w:sz w:val="32"/>
          <w:szCs w:val="32"/>
          <w:u w:val="single" w:color="auto"/>
        </w:rPr>
        <w:t xml:space="preserve"> 衡阳市人民政府</w:t>
      </w:r>
      <w:r>
        <w:rPr>
          <w:rFonts w:hint="default" w:ascii="Times New Roman" w:hAnsi="Times New Roman" w:eastAsia="仿宋" w:cs="Times New Roman"/>
          <w:color w:val="auto"/>
          <w:sz w:val="32"/>
          <w:szCs w:val="32"/>
          <w:u w:val="single" w:color="auto"/>
        </w:rPr>
        <w:t xml:space="preserve">     </w:t>
      </w:r>
      <w:r>
        <w:rPr>
          <w:rFonts w:hint="default" w:ascii="Times New Roman" w:hAnsi="Times New Roman" w:eastAsia="仿宋" w:cs="Times New Roman"/>
          <w:color w:val="auto"/>
          <w:sz w:val="32"/>
          <w:szCs w:val="32"/>
          <w:u w:val="single" w:color="auto"/>
          <w:lang w:val="en-US" w:eastAsia="zh-CN"/>
        </w:rPr>
        <w:t xml:space="preserve">   </w:t>
      </w:r>
      <w:r>
        <w:rPr>
          <w:rFonts w:hint="default" w:ascii="Times New Roman" w:hAnsi="Times New Roman" w:eastAsia="仿宋" w:cs="Times New Roman"/>
          <w:color w:val="auto"/>
          <w:sz w:val="32"/>
          <w:szCs w:val="32"/>
          <w:u w:val="single" w:color="auto"/>
        </w:rPr>
        <w:t xml:space="preserve">      </w:t>
      </w:r>
      <w:r>
        <w:rPr>
          <w:rFonts w:hint="default" w:ascii="Times New Roman" w:hAnsi="Times New Roman" w:eastAsia="仿宋" w:cs="Times New Roman"/>
          <w:color w:val="auto"/>
          <w:sz w:val="32"/>
          <w:szCs w:val="32"/>
          <w:u w:val="single" w:color="auto"/>
          <w:lang w:val="en-US" w:eastAsia="zh-CN"/>
        </w:rPr>
        <w:t xml:space="preserve">   </w:t>
      </w:r>
    </w:p>
    <w:p w14:paraId="50491DEE">
      <w:pPr>
        <w:keepNext w:val="0"/>
        <w:keepLines w:val="0"/>
        <w:pageBreakBefore w:val="0"/>
        <w:wordWrap/>
        <w:overflowPunct/>
        <w:topLinePunct w:val="0"/>
        <w:bidi w:val="0"/>
        <w:spacing w:line="276" w:lineRule="auto"/>
        <w:jc w:val="both"/>
        <w:rPr>
          <w:rFonts w:hint="default" w:ascii="Times New Roman" w:hAnsi="Times New Roman" w:cs="Times New Roman"/>
          <w:color w:val="auto"/>
          <w:sz w:val="32"/>
          <w:szCs w:val="32"/>
        </w:rPr>
      </w:pPr>
    </w:p>
    <w:p w14:paraId="1EA00D87">
      <w:pPr>
        <w:keepNext w:val="0"/>
        <w:keepLines w:val="0"/>
        <w:pageBreakBefore w:val="0"/>
        <w:wordWrap/>
        <w:overflowPunct/>
        <w:topLinePunct w:val="0"/>
        <w:bidi w:val="0"/>
        <w:spacing w:line="277" w:lineRule="auto"/>
        <w:jc w:val="both"/>
        <w:rPr>
          <w:rFonts w:hint="default" w:ascii="Times New Roman" w:hAnsi="Times New Roman" w:cs="Times New Roman"/>
          <w:color w:val="auto"/>
          <w:sz w:val="32"/>
          <w:szCs w:val="32"/>
        </w:rPr>
      </w:pPr>
    </w:p>
    <w:p w14:paraId="429C997B">
      <w:pPr>
        <w:keepNext w:val="0"/>
        <w:keepLines w:val="0"/>
        <w:pageBreakBefore w:val="0"/>
        <w:wordWrap/>
        <w:overflowPunct/>
        <w:topLinePunct w:val="0"/>
        <w:bidi w:val="0"/>
        <w:spacing w:line="277" w:lineRule="auto"/>
        <w:jc w:val="both"/>
        <w:rPr>
          <w:rFonts w:hint="default" w:ascii="Times New Roman" w:hAnsi="Times New Roman" w:cs="Times New Roman"/>
          <w:color w:val="auto"/>
          <w:sz w:val="32"/>
          <w:szCs w:val="32"/>
        </w:rPr>
      </w:pPr>
    </w:p>
    <w:p w14:paraId="682B3F56">
      <w:pPr>
        <w:keepNext w:val="0"/>
        <w:keepLines w:val="0"/>
        <w:pageBreakBefore w:val="0"/>
        <w:wordWrap/>
        <w:overflowPunct/>
        <w:topLinePunct w:val="0"/>
        <w:bidi w:val="0"/>
        <w:spacing w:line="277" w:lineRule="auto"/>
        <w:jc w:val="both"/>
        <w:rPr>
          <w:rFonts w:hint="default" w:ascii="Times New Roman" w:hAnsi="Times New Roman" w:cs="Times New Roman"/>
          <w:color w:val="auto"/>
          <w:sz w:val="32"/>
          <w:szCs w:val="32"/>
        </w:rPr>
      </w:pPr>
    </w:p>
    <w:p w14:paraId="0EF584B8">
      <w:pPr>
        <w:keepNext w:val="0"/>
        <w:keepLines w:val="0"/>
        <w:pageBreakBefore w:val="0"/>
        <w:wordWrap/>
        <w:overflowPunct/>
        <w:topLinePunct w:val="0"/>
        <w:bidi w:val="0"/>
        <w:spacing w:line="277" w:lineRule="auto"/>
        <w:jc w:val="both"/>
        <w:rPr>
          <w:rFonts w:hint="default" w:ascii="Times New Roman" w:hAnsi="Times New Roman" w:cs="Times New Roman"/>
          <w:color w:val="auto"/>
          <w:sz w:val="32"/>
          <w:szCs w:val="32"/>
        </w:rPr>
      </w:pPr>
    </w:p>
    <w:p w14:paraId="5E3687A9">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default" w:ascii="Times New Roman" w:hAnsi="Times New Roman" w:eastAsia="仿宋" w:cs="Times New Roman"/>
          <w:b/>
          <w:bCs/>
          <w:color w:val="auto"/>
          <w:spacing w:val="20"/>
          <w:sz w:val="32"/>
          <w:szCs w:val="32"/>
        </w:rPr>
      </w:pPr>
      <w:r>
        <w:rPr>
          <w:rFonts w:hint="default" w:ascii="Times New Roman" w:hAnsi="Times New Roman" w:eastAsia="仿宋" w:cs="Times New Roman"/>
          <w:b/>
          <w:bCs/>
          <w:color w:val="auto"/>
          <w:spacing w:val="20"/>
          <w:sz w:val="32"/>
          <w:szCs w:val="32"/>
        </w:rPr>
        <w:t>报告日期：202</w:t>
      </w:r>
      <w:r>
        <w:rPr>
          <w:rFonts w:hint="default" w:ascii="Times New Roman" w:hAnsi="Times New Roman" w:eastAsia="仿宋" w:cs="Times New Roman"/>
          <w:b/>
          <w:bCs/>
          <w:color w:val="auto"/>
          <w:spacing w:val="20"/>
          <w:sz w:val="32"/>
          <w:szCs w:val="32"/>
          <w:lang w:val="en-US" w:eastAsia="zh-CN"/>
        </w:rPr>
        <w:t>3</w:t>
      </w:r>
      <w:r>
        <w:rPr>
          <w:rFonts w:hint="default" w:ascii="Times New Roman" w:hAnsi="Times New Roman" w:eastAsia="仿宋" w:cs="Times New Roman"/>
          <w:b/>
          <w:bCs/>
          <w:color w:val="auto"/>
          <w:spacing w:val="20"/>
          <w:sz w:val="32"/>
          <w:szCs w:val="32"/>
        </w:rPr>
        <w:t>年8月</w:t>
      </w:r>
    </w:p>
    <w:p w14:paraId="66DACF08">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default" w:ascii="Times New Roman" w:hAnsi="Times New Roman" w:eastAsia="仿宋" w:cs="Times New Roman"/>
          <w:b/>
          <w:bCs/>
          <w:color w:val="auto"/>
          <w:spacing w:val="20"/>
          <w:sz w:val="32"/>
          <w:szCs w:val="32"/>
        </w:rPr>
      </w:pPr>
      <w:r>
        <w:rPr>
          <w:rFonts w:hint="default" w:ascii="Times New Roman" w:hAnsi="Times New Roman" w:eastAsia="仿宋" w:cs="Times New Roman"/>
          <w:b/>
          <w:bCs/>
          <w:color w:val="auto"/>
          <w:spacing w:val="20"/>
          <w:sz w:val="32"/>
          <w:szCs w:val="32"/>
        </w:rPr>
        <w:t>衡阳市财政局制</w:t>
      </w:r>
    </w:p>
    <w:p w14:paraId="26BF3C7B">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default" w:ascii="Times New Roman" w:hAnsi="Times New Roman" w:eastAsia="仿宋" w:cs="Times New Roman"/>
          <w:b/>
          <w:bCs/>
          <w:color w:val="auto"/>
          <w:spacing w:val="20"/>
          <w:sz w:val="32"/>
          <w:szCs w:val="32"/>
        </w:rPr>
        <w:sectPr>
          <w:pgSz w:w="11900" w:h="16840"/>
          <w:pgMar w:top="1431" w:right="1536" w:bottom="0" w:left="1534" w:header="0" w:footer="0" w:gutter="0"/>
          <w:pgNumType w:fmt="decimal"/>
          <w:cols w:space="720" w:num="1"/>
        </w:sectPr>
      </w:pPr>
    </w:p>
    <w:p w14:paraId="1DDE73A1">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为贯彻落实《中共中央国务院关于全面实施预算绩效管理的意见》（中发〔2018〕34号）、《中共湖南省委办公厅 湖南省人民政府办公厅关于全面实施预算绩效管理的实施意见》（湘办发〔2019〕10号）、《中共衡阳市委办公室 衡阳市人民政府关于印发&lt;衡阳市预算绩效管理实施办法&gt;的通知》（衡办发〔2022〕13号）和《衡阳市财政局关于开展2022年度市直预算部门整体支出财政绩效评价的通知》（衡财绩〔2023〕193号）等精神，受衡阳市财政局（以下简称“市财政局”）委托，湖南众智金石经济咨询有限公司对衡阳技师学院（以下简称“技师学院”）2022年部门整体支出实施了绩效评价。评价采用定量分析和定性分析相结合的方法，在被评价单位提供资料的基础上，按照重要性原则，根据该项目的实际情况，实施了资料审阅、账务核实、现场查勘、抽查支付记录、询问、分析计算等必要的现场评价程序，并结合预算决策、预算执行、预算监督、项目决策、资金使用、财务管理、部门履职和履职效益等方面进行了综合评价。现将部门整体绩效评价情况报告如下：</w:t>
      </w:r>
    </w:p>
    <w:p w14:paraId="74F14CCF">
      <w:pPr>
        <w:keepNext w:val="0"/>
        <w:keepLines w:val="0"/>
        <w:pageBreakBefore w:val="0"/>
        <w:widowControl/>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一、</w:t>
      </w:r>
      <w:r>
        <w:rPr>
          <w:rFonts w:hint="default" w:ascii="Times New Roman" w:hAnsi="Times New Roman" w:eastAsia="黑体" w:cs="Times New Roman"/>
          <w:color w:val="auto"/>
          <w:sz w:val="32"/>
          <w:szCs w:val="32"/>
          <w:lang w:val="en-US" w:eastAsia="zh-CN"/>
        </w:rPr>
        <w:t>部门概况</w:t>
      </w:r>
    </w:p>
    <w:p w14:paraId="2FB6985F">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3" w:firstLineChars="200"/>
        <w:jc w:val="both"/>
        <w:textAlignment w:val="baseline"/>
        <w:rPr>
          <w:rFonts w:hint="default" w:ascii="Times New Roman" w:hAnsi="Times New Roman" w:eastAsia="楷体_GB2312" w:cs="Times New Roman"/>
          <w:b/>
          <w:bCs/>
          <w:color w:val="auto"/>
          <w:sz w:val="32"/>
          <w:szCs w:val="32"/>
          <w:lang w:eastAsia="zh-CN"/>
        </w:rPr>
      </w:pPr>
      <w:r>
        <w:rPr>
          <w:rFonts w:hint="default" w:ascii="Times New Roman" w:hAnsi="Times New Roman" w:eastAsia="楷体_GB2312" w:cs="Times New Roman"/>
          <w:b/>
          <w:bCs/>
          <w:color w:val="auto"/>
          <w:sz w:val="32"/>
          <w:szCs w:val="32"/>
          <w:lang w:eastAsia="zh-CN"/>
        </w:rPr>
        <w:t>（</w:t>
      </w:r>
      <w:r>
        <w:rPr>
          <w:rFonts w:hint="default" w:ascii="Times New Roman" w:hAnsi="Times New Roman" w:eastAsia="楷体_GB2312" w:cs="Times New Roman"/>
          <w:b/>
          <w:bCs/>
          <w:color w:val="auto"/>
          <w:sz w:val="32"/>
          <w:szCs w:val="32"/>
          <w:lang w:val="en-US" w:eastAsia="zh-CN"/>
        </w:rPr>
        <w:t>一</w:t>
      </w:r>
      <w:r>
        <w:rPr>
          <w:rFonts w:hint="default" w:ascii="Times New Roman" w:hAnsi="Times New Roman" w:eastAsia="楷体_GB2312" w:cs="Times New Roman"/>
          <w:b/>
          <w:bCs/>
          <w:color w:val="auto"/>
          <w:sz w:val="32"/>
          <w:szCs w:val="32"/>
          <w:lang w:eastAsia="zh-CN"/>
        </w:rPr>
        <w:t>）</w:t>
      </w:r>
      <w:r>
        <w:rPr>
          <w:rFonts w:hint="default" w:ascii="Times New Roman" w:hAnsi="Times New Roman" w:eastAsia="楷体_GB2312" w:cs="Times New Roman"/>
          <w:b/>
          <w:bCs/>
          <w:color w:val="auto"/>
          <w:sz w:val="32"/>
          <w:szCs w:val="32"/>
          <w:lang w:val="en-US" w:eastAsia="zh-CN"/>
        </w:rPr>
        <w:t>部门基本概况</w:t>
      </w:r>
    </w:p>
    <w:p w14:paraId="4D4845D7">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衡阳技师学院是2006年8月经湖南省人民政府批准成立的全省第一所技师学院。学院由原衡阳市第一高级技工学校、衡阳市生物与信息学校、衡阳市经济贸易学校、衡阳市机电工程学校四所学校合并升格而成，学院以培养技师、高职大专、高技、中专、中技专业人才为主，是集高等学历教育、职业技能教育、职业技能鉴定为一体的公办综合性学院。</w:t>
      </w:r>
    </w:p>
    <w:p w14:paraId="213FFEA9">
      <w:pPr>
        <w:keepNext w:val="0"/>
        <w:keepLines w:val="0"/>
        <w:pageBreakBefore w:val="0"/>
        <w:widowControl/>
        <w:kinsoku w:val="0"/>
        <w:wordWrap/>
        <w:overflowPunct/>
        <w:topLinePunct w:val="0"/>
        <w:autoSpaceDE w:val="0"/>
        <w:autoSpaceDN w:val="0"/>
        <w:bidi w:val="0"/>
        <w:adjustRightInd/>
        <w:snapToGrid/>
        <w:spacing w:line="580" w:lineRule="exact"/>
        <w:ind w:firstLine="643"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lang w:val="en-US" w:eastAsia="zh-CN"/>
        </w:rPr>
        <w:t>1.</w:t>
      </w:r>
      <w:r>
        <w:rPr>
          <w:rFonts w:hint="default" w:ascii="Times New Roman" w:hAnsi="Times New Roman" w:eastAsia="仿宋_GB2312" w:cs="Times New Roman"/>
          <w:b/>
          <w:bCs/>
          <w:color w:val="auto"/>
          <w:sz w:val="32"/>
          <w:szCs w:val="32"/>
        </w:rPr>
        <w:t>部门</w:t>
      </w:r>
      <w:r>
        <w:rPr>
          <w:rFonts w:hint="default" w:ascii="Times New Roman" w:hAnsi="Times New Roman" w:eastAsia="仿宋_GB2312" w:cs="Times New Roman"/>
          <w:b/>
          <w:bCs/>
          <w:color w:val="auto"/>
          <w:sz w:val="32"/>
          <w:szCs w:val="32"/>
          <w:lang w:val="en-US" w:eastAsia="zh-CN"/>
        </w:rPr>
        <w:t>职能职责</w:t>
      </w:r>
    </w:p>
    <w:p w14:paraId="42F51BDD">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衡阳技师学院为衡阳市人民政府举办按副厅级管理的公益二类事业单位。学院实行党委领导下的院长负责制。学院党委是学院的领导核心，履行对学院工作的全面领导职责，把握学院发展方向，决定学院重大问题，监督重大决议执行，支持院长依法依规行使职责，保证完成以人才培养为中心的各项任务。</w:t>
      </w:r>
    </w:p>
    <w:p w14:paraId="645F09DC">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学院全面落实党的教育方针政策和国家法律法规，主要承担以下职责:</w:t>
      </w:r>
    </w:p>
    <w:p w14:paraId="42576A86">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（1）负责学院党的建设和思想政治工作:</w:t>
      </w:r>
    </w:p>
    <w:p w14:paraId="119F4D76">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（2）承担电气工程、智能制造、信息工程、现代物流、经贸旅游、交通工程、乡村振兴等相关专业的职业技术技能人才培养及社会培训、技能等级认定、技能竞赛、社会服务等工作;</w:t>
      </w:r>
    </w:p>
    <w:p w14:paraId="2EDB14B6">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（3）负责招生就业及创新创业指导工作;</w:t>
      </w:r>
    </w:p>
    <w:p w14:paraId="42918B60">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（4）负责学科专业及其师资队伍建设;</w:t>
      </w:r>
    </w:p>
    <w:p w14:paraId="63CE67BA">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（5）负责后勤保障及平安校园建设;</w:t>
      </w:r>
    </w:p>
    <w:p w14:paraId="3CCC2E65">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（6）承担市委市政府及省人力资源和社会保障厅交办</w:t>
      </w:r>
    </w:p>
    <w:p w14:paraId="040CCA40">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的其他工作。</w:t>
      </w:r>
    </w:p>
    <w:p w14:paraId="49D9B387">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3" w:firstLineChars="200"/>
        <w:jc w:val="both"/>
        <w:textAlignment w:val="baseline"/>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2.机构设置</w:t>
      </w:r>
    </w:p>
    <w:p w14:paraId="680E201A">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衡阳技师学院内设13个党政管理机构、16个教学教辅机构。</w:t>
      </w:r>
    </w:p>
    <w:p w14:paraId="076CC364">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（1）党政管理机构分别为：党政办公室，组织人事处，宣传统战部，教务处，计划财务处，招生就业指导处，学生工作处（武装部），后勤保卫处，资产管理处，发展规划处，审计处，基建处。</w:t>
      </w:r>
    </w:p>
    <w:p w14:paraId="7A6AB2FA">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（2）教学机构分别为：人文素质学院，马克思主义学院，职业培训学院，继续教育学院，电气工程学院，智能制造学院，信息工程学院，现代物流学院，经贸旅游学院，交通工程学院，乡村振兴学院。</w:t>
      </w:r>
    </w:p>
    <w:p w14:paraId="32659414">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（3）教辅机构分别为：实训中心，图书馆，信息中心，</w:t>
      </w:r>
    </w:p>
    <w:p w14:paraId="5BBFEEDE">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创新创业中心。</w:t>
      </w:r>
    </w:p>
    <w:p w14:paraId="13289179">
      <w:pPr>
        <w:keepNext w:val="0"/>
        <w:keepLines w:val="0"/>
        <w:pageBreakBefore w:val="0"/>
        <w:widowControl/>
        <w:kinsoku w:val="0"/>
        <w:wordWrap/>
        <w:overflowPunct/>
        <w:topLinePunct w:val="0"/>
        <w:autoSpaceDE w:val="0"/>
        <w:autoSpaceDN w:val="0"/>
        <w:bidi w:val="0"/>
        <w:adjustRightInd/>
        <w:snapToGrid/>
        <w:spacing w:line="580" w:lineRule="exact"/>
        <w:ind w:firstLine="643" w:firstLineChars="200"/>
        <w:jc w:val="both"/>
        <w:textAlignment w:val="baseline"/>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3.人员配置</w:t>
      </w:r>
    </w:p>
    <w:p w14:paraId="54CA79FE">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衡阳技师学院全额拨款事业编制867名。2022年末实有在职职工737名，其中: 非参公事业人员638人，临聘人员99人。</w:t>
      </w:r>
    </w:p>
    <w:p w14:paraId="0EC30925">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3" w:firstLineChars="200"/>
        <w:jc w:val="both"/>
        <w:textAlignment w:val="baseline"/>
        <w:rPr>
          <w:rFonts w:hint="default" w:ascii="Times New Roman" w:hAnsi="Times New Roman" w:eastAsia="楷体_GB2312" w:cs="Times New Roman"/>
          <w:b/>
          <w:bCs/>
          <w:color w:val="auto"/>
          <w:sz w:val="32"/>
          <w:szCs w:val="32"/>
          <w:lang w:eastAsia="zh-CN"/>
        </w:rPr>
      </w:pPr>
      <w:r>
        <w:rPr>
          <w:rFonts w:hint="default" w:ascii="Times New Roman" w:hAnsi="Times New Roman" w:eastAsia="楷体_GB2312" w:cs="Times New Roman"/>
          <w:b/>
          <w:bCs/>
          <w:color w:val="auto"/>
          <w:sz w:val="32"/>
          <w:szCs w:val="32"/>
          <w:lang w:eastAsia="zh-CN"/>
        </w:rPr>
        <w:t>（二）单位整体支出规模、使用方向和主要内容、涉及范围等</w:t>
      </w:r>
    </w:p>
    <w:p w14:paraId="0D7B5F1F">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napToGrid/>
          <w:color w:val="auto"/>
          <w:kern w:val="2"/>
          <w:sz w:val="32"/>
          <w:szCs w:val="32"/>
          <w:lang w:val="en-US" w:eastAsia="zh-CN" w:bidi="ar-SA"/>
        </w:rPr>
      </w:pPr>
      <w:r>
        <w:rPr>
          <w:rFonts w:hint="default" w:ascii="Times New Roman" w:hAnsi="Times New Roman" w:eastAsia="仿宋_GB2312" w:cs="Times New Roman"/>
          <w:snapToGrid/>
          <w:color w:val="auto"/>
          <w:kern w:val="2"/>
          <w:sz w:val="32"/>
          <w:szCs w:val="32"/>
          <w:lang w:val="en-US" w:eastAsia="zh-CN" w:bidi="ar-SA"/>
        </w:rPr>
        <w:t>2022年技师学院决算整体支出为19,550.14万元</w:t>
      </w:r>
      <w:r>
        <w:rPr>
          <w:rStyle w:val="12"/>
          <w:rFonts w:hint="default" w:ascii="Times New Roman" w:hAnsi="Times New Roman" w:eastAsia="仿宋_GB2312" w:cs="Times New Roman"/>
          <w:snapToGrid/>
          <w:color w:val="auto"/>
          <w:kern w:val="2"/>
          <w:sz w:val="32"/>
          <w:szCs w:val="32"/>
          <w:lang w:val="en-US" w:eastAsia="zh-CN" w:bidi="ar-SA"/>
        </w:rPr>
        <w:footnoteReference w:id="0"/>
      </w:r>
      <w:r>
        <w:rPr>
          <w:rFonts w:hint="default" w:ascii="Times New Roman" w:hAnsi="Times New Roman" w:eastAsia="仿宋_GB2312" w:cs="Times New Roman"/>
          <w:snapToGrid/>
          <w:color w:val="auto"/>
          <w:kern w:val="2"/>
          <w:sz w:val="32"/>
          <w:szCs w:val="32"/>
          <w:lang w:val="en-US" w:eastAsia="zh-CN" w:bidi="ar-SA"/>
        </w:rPr>
        <w:t>，其中：基本支出16,069.46万元，项目支出3,480.68万元。资金的使用方向为人员经费支出、日常公用经费支出和行政事业类项目支出，主要包括工资福利支出、商品和服务支出、对个人和家庭的补助、债务利息费用支出及资本性支出。</w:t>
      </w:r>
    </w:p>
    <w:p w14:paraId="622C06E3">
      <w:pPr>
        <w:keepNext w:val="0"/>
        <w:keepLines w:val="0"/>
        <w:pageBreakBefore w:val="0"/>
        <w:widowControl/>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黑体" w:cs="Times New Roman"/>
          <w:color w:val="auto"/>
          <w:sz w:val="32"/>
          <w:szCs w:val="32"/>
          <w:lang w:val="en-US" w:eastAsia="zh-CN"/>
        </w:rPr>
        <w:t>2022年</w:t>
      </w:r>
      <w:r>
        <w:rPr>
          <w:rFonts w:hint="default" w:ascii="Times New Roman" w:hAnsi="Times New Roman" w:eastAsia="黑体" w:cs="Times New Roman"/>
          <w:color w:val="auto"/>
          <w:sz w:val="32"/>
          <w:szCs w:val="32"/>
        </w:rPr>
        <w:t>一般公共预算支出情况</w:t>
      </w:r>
    </w:p>
    <w:p w14:paraId="14A67D50">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2022年技师学院年初部门预算</w:t>
      </w:r>
      <w:bookmarkStart w:id="0" w:name="OLE_LINK1"/>
      <w:r>
        <w:rPr>
          <w:rFonts w:hint="default" w:ascii="Times New Roman" w:hAnsi="Times New Roman" w:eastAsia="仿宋_GB2312" w:cs="Times New Roman"/>
          <w:b w:val="0"/>
          <w:i w:val="0"/>
          <w:strike w:val="0"/>
          <w:dstrike w:val="0"/>
          <w:color w:val="auto"/>
          <w:kern w:val="0"/>
          <w:sz w:val="32"/>
          <w:szCs w:val="32"/>
          <w:u w:val="none"/>
          <w:lang w:val="en-US" w:eastAsia="zh-CN" w:bidi="hi-IN"/>
        </w:rPr>
        <w:t>21,864.02</w:t>
      </w:r>
      <w:bookmarkEnd w:id="0"/>
      <w:r>
        <w:rPr>
          <w:rFonts w:hint="default" w:ascii="Times New Roman" w:hAnsi="Times New Roman" w:eastAsia="仿宋_GB2312" w:cs="Times New Roman"/>
          <w:snapToGrid w:val="0"/>
          <w:color w:val="auto"/>
          <w:kern w:val="0"/>
          <w:sz w:val="32"/>
          <w:szCs w:val="32"/>
          <w:lang w:val="en-US" w:eastAsia="zh-CN"/>
        </w:rPr>
        <w:t>万元，</w:t>
      </w:r>
      <w:r>
        <w:rPr>
          <w:rFonts w:hint="default" w:ascii="Times New Roman" w:hAnsi="Times New Roman" w:eastAsia="仿宋_GB2312" w:cs="Times New Roman"/>
          <w:snapToGrid/>
          <w:color w:val="auto"/>
          <w:kern w:val="2"/>
          <w:sz w:val="32"/>
          <w:szCs w:val="32"/>
          <w:lang w:val="en-US" w:eastAsia="zh-CN" w:bidi="ar-SA"/>
        </w:rPr>
        <w:t>其中，一般公共预算拨款7,664.02万元，非税收入拨款8,800.00万元，上级财政补助收入4,600.00万元，其他收入800.00万元；</w:t>
      </w:r>
      <w:r>
        <w:rPr>
          <w:rFonts w:hint="default" w:ascii="Times New Roman" w:hAnsi="Times New Roman" w:eastAsia="仿宋_GB2312" w:cs="Times New Roman"/>
          <w:snapToGrid w:val="0"/>
          <w:color w:val="auto"/>
          <w:kern w:val="0"/>
          <w:sz w:val="32"/>
          <w:szCs w:val="32"/>
          <w:lang w:val="en-US" w:eastAsia="zh-CN"/>
        </w:rPr>
        <w:t>年中调</w:t>
      </w:r>
      <w:r>
        <w:rPr>
          <w:rFonts w:hint="default" w:ascii="Times New Roman" w:hAnsi="Times New Roman" w:eastAsia="仿宋_GB2312" w:cs="Times New Roman"/>
          <w:snapToGrid/>
          <w:color w:val="auto"/>
          <w:kern w:val="2"/>
          <w:sz w:val="32"/>
          <w:szCs w:val="32"/>
          <w:lang w:val="en-US" w:eastAsia="zh-CN" w:bidi="ar-SA"/>
        </w:rPr>
        <w:t>增1,223.36万元，年末总预算23,087.38万元，决算</w:t>
      </w:r>
      <w:r>
        <w:rPr>
          <w:rFonts w:hint="default" w:ascii="Times New Roman" w:hAnsi="Times New Roman" w:eastAsia="仿宋_GB2312" w:cs="Times New Roman"/>
          <w:snapToGrid w:val="0"/>
          <w:color w:val="auto"/>
          <w:kern w:val="0"/>
          <w:sz w:val="32"/>
          <w:szCs w:val="32"/>
          <w:lang w:val="en-US" w:eastAsia="zh-CN"/>
        </w:rPr>
        <w:t>支出19,550.14万元</w:t>
      </w:r>
      <w:r>
        <w:rPr>
          <w:rFonts w:hint="default" w:ascii="Times New Roman" w:hAnsi="Times New Roman" w:eastAsia="仿宋_GB2312" w:cs="Times New Roman"/>
          <w:snapToGrid/>
          <w:color w:val="auto"/>
          <w:kern w:val="2"/>
          <w:sz w:val="32"/>
          <w:szCs w:val="32"/>
          <w:lang w:val="en-US" w:eastAsia="zh-CN" w:bidi="ar-SA"/>
        </w:rPr>
        <w:t>，整体支出的预算执行率为84.68%。预算执行率低于95%的主要原因是年初项目支出预算编制不精准等，影响已下达未支付的预算指标达3,537.24万元。年</w:t>
      </w:r>
      <w:r>
        <w:rPr>
          <w:rFonts w:hint="default" w:ascii="Times New Roman" w:hAnsi="Times New Roman" w:eastAsia="仿宋_GB2312" w:cs="Times New Roman"/>
          <w:snapToGrid w:val="0"/>
          <w:color w:val="auto"/>
          <w:kern w:val="0"/>
          <w:sz w:val="32"/>
          <w:szCs w:val="32"/>
          <w:lang w:val="en-US" w:eastAsia="zh-CN"/>
        </w:rPr>
        <w:t>中调增的主要原因有：一是人员经费相应增加620.53万元，包括2022年度增人增资289.22万元、基本工资提标279.55万元等；二是项目支出增加602.83万元，包括补助职业能力建设专项资金155.00万元(湘财社指〔2022〕68号)、2022年第三批省制造强省专项资金（湘财企指〔2022〕54号）70.00万元、2022年市县中职学校改善办学条件中央资金（湘财预〔2022〕0108号）311.00万元等。</w:t>
      </w:r>
    </w:p>
    <w:p w14:paraId="440F7BCE">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3" w:firstLineChars="200"/>
        <w:jc w:val="both"/>
        <w:textAlignment w:val="baseline"/>
        <w:rPr>
          <w:rFonts w:hint="default" w:ascii="Times New Roman" w:hAnsi="Times New Roman" w:eastAsia="楷体_GB2312" w:cs="Times New Roman"/>
          <w:b/>
          <w:bCs/>
          <w:snapToGrid w:val="0"/>
          <w:color w:val="auto"/>
          <w:kern w:val="0"/>
          <w:sz w:val="32"/>
          <w:szCs w:val="32"/>
          <w:lang w:val="en-US" w:eastAsia="zh-CN"/>
        </w:rPr>
      </w:pPr>
      <w:r>
        <w:rPr>
          <w:rFonts w:hint="default" w:ascii="Times New Roman" w:hAnsi="Times New Roman" w:eastAsia="楷体_GB2312" w:cs="Times New Roman"/>
          <w:b/>
          <w:bCs/>
          <w:snapToGrid w:val="0"/>
          <w:color w:val="auto"/>
          <w:kern w:val="0"/>
          <w:sz w:val="32"/>
          <w:szCs w:val="32"/>
          <w:lang w:val="en-US" w:eastAsia="zh-CN"/>
        </w:rPr>
        <w:t>（一）基本支出</w:t>
      </w:r>
    </w:p>
    <w:p w14:paraId="1B1A724F">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基本支出主要为保障单位机构正常运转、完成日常工作任务而发生的各项支出，包括工资福利支出、对个人和家庭的补助等人员经费和水电费、邮电费、劳务费、公务接待费、公务用车运行维护费等日常公用经费。</w:t>
      </w:r>
    </w:p>
    <w:p w14:paraId="2D9095A9">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2022年技师学院基本支出年初预算11,541.87万元，年中调增620.53万元，全年预算12,162.40万元，决算支出16,069.46元，基本支出预算执行率132.12%。</w:t>
      </w:r>
    </w:p>
    <w:p w14:paraId="35606934">
      <w:pPr>
        <w:pStyle w:val="3"/>
        <w:keepNext w:val="0"/>
        <w:keepLines w:val="0"/>
        <w:pageBreakBefore w:val="0"/>
        <w:wordWrap/>
        <w:overflowPunct/>
        <w:topLinePunct w:val="0"/>
        <w:bidi w:val="0"/>
        <w:adjustRightInd/>
        <w:snapToGrid/>
        <w:spacing w:line="580" w:lineRule="exact"/>
        <w:jc w:val="center"/>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表一：基本支出情况表（单位：万元）</w:t>
      </w:r>
    </w:p>
    <w:tbl>
      <w:tblPr>
        <w:tblStyle w:val="10"/>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611"/>
        <w:gridCol w:w="1203"/>
        <w:gridCol w:w="977"/>
        <w:gridCol w:w="1203"/>
        <w:gridCol w:w="1203"/>
        <w:gridCol w:w="1060"/>
        <w:gridCol w:w="1149"/>
      </w:tblGrid>
      <w:tr w14:paraId="3A82C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1" w:type="dxa"/>
            <w:vAlign w:val="center"/>
          </w:tcPr>
          <w:p w14:paraId="0565EF93">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b/>
                <w:bCs/>
                <w:color w:val="auto"/>
                <w:szCs w:val="21"/>
              </w:rPr>
              <w:t>序号</w:t>
            </w:r>
          </w:p>
        </w:tc>
        <w:tc>
          <w:tcPr>
            <w:tcW w:w="1649" w:type="dxa"/>
            <w:vAlign w:val="center"/>
          </w:tcPr>
          <w:p w14:paraId="71793479">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b/>
                <w:bCs/>
                <w:color w:val="auto"/>
                <w:szCs w:val="21"/>
              </w:rPr>
              <w:t>预算支出科目</w:t>
            </w:r>
          </w:p>
        </w:tc>
        <w:tc>
          <w:tcPr>
            <w:tcW w:w="1206" w:type="dxa"/>
            <w:vAlign w:val="center"/>
          </w:tcPr>
          <w:p w14:paraId="7CFC9952">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b/>
                <w:bCs/>
                <w:color w:val="auto"/>
                <w:szCs w:val="21"/>
              </w:rPr>
              <w:t>年初预算</w:t>
            </w:r>
          </w:p>
        </w:tc>
        <w:tc>
          <w:tcPr>
            <w:tcW w:w="982" w:type="dxa"/>
            <w:vAlign w:val="center"/>
          </w:tcPr>
          <w:p w14:paraId="2659DC14">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b/>
                <w:bCs/>
                <w:color w:val="auto"/>
                <w:szCs w:val="21"/>
              </w:rPr>
              <w:t>年中调增</w:t>
            </w:r>
          </w:p>
        </w:tc>
        <w:tc>
          <w:tcPr>
            <w:tcW w:w="1206" w:type="dxa"/>
            <w:vAlign w:val="center"/>
          </w:tcPr>
          <w:p w14:paraId="6279A443">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b/>
                <w:bCs/>
                <w:color w:val="auto"/>
                <w:szCs w:val="21"/>
                <w:lang w:eastAsia="zh-CN"/>
              </w:rPr>
              <w:t>全年预算</w:t>
            </w:r>
          </w:p>
        </w:tc>
        <w:tc>
          <w:tcPr>
            <w:tcW w:w="1206" w:type="dxa"/>
            <w:vAlign w:val="center"/>
          </w:tcPr>
          <w:p w14:paraId="6F0727D5">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b/>
                <w:bCs/>
                <w:color w:val="auto"/>
                <w:szCs w:val="21"/>
              </w:rPr>
              <w:t>决算支出</w:t>
            </w:r>
          </w:p>
        </w:tc>
        <w:tc>
          <w:tcPr>
            <w:tcW w:w="994" w:type="dxa"/>
            <w:vAlign w:val="center"/>
          </w:tcPr>
          <w:p w14:paraId="4260A18D">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b/>
                <w:bCs/>
                <w:color w:val="auto"/>
                <w:szCs w:val="21"/>
              </w:rPr>
              <w:t>本期结余</w:t>
            </w:r>
          </w:p>
        </w:tc>
        <w:tc>
          <w:tcPr>
            <w:tcW w:w="1154" w:type="dxa"/>
            <w:vAlign w:val="center"/>
          </w:tcPr>
          <w:p w14:paraId="338FD6C2">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b/>
                <w:bCs/>
                <w:color w:val="auto"/>
                <w:szCs w:val="21"/>
              </w:rPr>
              <w:t>预算执行率</w:t>
            </w:r>
          </w:p>
        </w:tc>
      </w:tr>
      <w:tr w14:paraId="39094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1" w:type="dxa"/>
            <w:vAlign w:val="center"/>
          </w:tcPr>
          <w:p w14:paraId="2D80497D">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val="0"/>
                <w:bCs w:val="0"/>
                <w:snapToGrid w:val="0"/>
                <w:color w:val="auto"/>
                <w:kern w:val="0"/>
                <w:sz w:val="21"/>
                <w:szCs w:val="21"/>
                <w:lang w:val="en-US" w:eastAsia="zh-CN"/>
              </w:rPr>
            </w:pPr>
            <w:r>
              <w:rPr>
                <w:rFonts w:hint="default" w:ascii="Times New Roman" w:hAnsi="Times New Roman" w:eastAsia="仿宋_GB2312" w:cs="Times New Roman"/>
                <w:b w:val="0"/>
                <w:bCs w:val="0"/>
                <w:snapToGrid w:val="0"/>
                <w:color w:val="auto"/>
                <w:kern w:val="0"/>
                <w:sz w:val="21"/>
                <w:szCs w:val="21"/>
              </w:rPr>
              <w:t>1</w:t>
            </w:r>
          </w:p>
        </w:tc>
        <w:tc>
          <w:tcPr>
            <w:tcW w:w="1649" w:type="dxa"/>
            <w:vAlign w:val="center"/>
          </w:tcPr>
          <w:p w14:paraId="19AEC184">
            <w:pPr>
              <w:keepNext w:val="0"/>
              <w:keepLines w:val="0"/>
              <w:widowControl/>
              <w:suppressLineNumbers w:val="0"/>
              <w:jc w:val="center"/>
              <w:textAlignment w:val="center"/>
              <w:rPr>
                <w:rFonts w:hint="default" w:ascii="Times New Roman" w:hAnsi="Times New Roman" w:eastAsia="仿宋_GB2312" w:cs="Times New Roman"/>
                <w:b w:val="0"/>
                <w:bCs w:val="0"/>
                <w:snapToGrid w:val="0"/>
                <w:color w:val="auto"/>
                <w:kern w:val="0"/>
                <w:sz w:val="21"/>
                <w:szCs w:val="21"/>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人员经费</w:t>
            </w:r>
          </w:p>
        </w:tc>
        <w:tc>
          <w:tcPr>
            <w:tcW w:w="1206" w:type="dxa"/>
            <w:vAlign w:val="center"/>
          </w:tcPr>
          <w:p w14:paraId="7AFC61E2">
            <w:pPr>
              <w:keepNext w:val="0"/>
              <w:keepLines w:val="0"/>
              <w:widowControl/>
              <w:suppressLineNumbers w:val="0"/>
              <w:jc w:val="right"/>
              <w:textAlignment w:val="center"/>
              <w:rPr>
                <w:rFonts w:hint="default" w:ascii="Times New Roman" w:hAnsi="Times New Roman" w:eastAsia="仿宋_GB2312" w:cs="Times New Roman"/>
                <w:b w:val="0"/>
                <w:bCs w:val="0"/>
                <w:snapToGrid w:val="0"/>
                <w:color w:val="auto"/>
                <w:kern w:val="0"/>
                <w:sz w:val="21"/>
                <w:szCs w:val="21"/>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11,028.43</w:t>
            </w:r>
          </w:p>
        </w:tc>
        <w:tc>
          <w:tcPr>
            <w:tcW w:w="982" w:type="dxa"/>
            <w:vAlign w:val="center"/>
          </w:tcPr>
          <w:p w14:paraId="20B205B7">
            <w:pPr>
              <w:keepNext w:val="0"/>
              <w:keepLines w:val="0"/>
              <w:widowControl/>
              <w:suppressLineNumbers w:val="0"/>
              <w:jc w:val="righ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608.43</w:t>
            </w:r>
          </w:p>
        </w:tc>
        <w:tc>
          <w:tcPr>
            <w:tcW w:w="1206" w:type="dxa"/>
            <w:vAlign w:val="center"/>
          </w:tcPr>
          <w:p w14:paraId="46565754">
            <w:pPr>
              <w:keepNext w:val="0"/>
              <w:keepLines w:val="0"/>
              <w:widowControl/>
              <w:suppressLineNumbers w:val="0"/>
              <w:jc w:val="righ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11,636.86</w:t>
            </w:r>
          </w:p>
        </w:tc>
        <w:tc>
          <w:tcPr>
            <w:tcW w:w="1206" w:type="dxa"/>
            <w:vAlign w:val="center"/>
          </w:tcPr>
          <w:p w14:paraId="490B2B00">
            <w:pPr>
              <w:keepNext w:val="0"/>
              <w:keepLines w:val="0"/>
              <w:widowControl/>
              <w:suppressLineNumbers w:val="0"/>
              <w:jc w:val="righ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12,586.88</w:t>
            </w:r>
          </w:p>
        </w:tc>
        <w:tc>
          <w:tcPr>
            <w:tcW w:w="994" w:type="dxa"/>
            <w:vAlign w:val="center"/>
          </w:tcPr>
          <w:p w14:paraId="59866851">
            <w:pPr>
              <w:keepNext w:val="0"/>
              <w:keepLines w:val="0"/>
              <w:widowControl/>
              <w:suppressLineNumbers w:val="0"/>
              <w:jc w:val="right"/>
              <w:textAlignment w:val="center"/>
              <w:rPr>
                <w:rFonts w:hint="default" w:ascii="Times New Roman" w:hAnsi="Times New Roman" w:eastAsia="仿宋_GB2312" w:cs="Times New Roman"/>
                <w:i w:val="0"/>
                <w:iCs w:val="0"/>
                <w:snapToGrid w:val="0"/>
                <w:color w:val="auto"/>
                <w:kern w:val="0"/>
                <w:sz w:val="22"/>
                <w:szCs w:val="22"/>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-950.02</w:t>
            </w:r>
          </w:p>
        </w:tc>
        <w:tc>
          <w:tcPr>
            <w:tcW w:w="1154" w:type="dxa"/>
            <w:vAlign w:val="center"/>
          </w:tcPr>
          <w:p w14:paraId="69E7A775">
            <w:pPr>
              <w:keepNext w:val="0"/>
              <w:keepLines w:val="0"/>
              <w:widowControl/>
              <w:suppressLineNumbers w:val="0"/>
              <w:jc w:val="right"/>
              <w:textAlignment w:val="center"/>
              <w:rPr>
                <w:rFonts w:hint="default" w:ascii="Times New Roman" w:hAnsi="Times New Roman" w:eastAsia="仿宋_GB2312" w:cs="Times New Roman"/>
                <w:i w:val="0"/>
                <w:iCs w:val="0"/>
                <w:snapToGrid w:val="0"/>
                <w:color w:val="auto"/>
                <w:kern w:val="0"/>
                <w:sz w:val="22"/>
                <w:szCs w:val="22"/>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108.16%</w:t>
            </w:r>
          </w:p>
        </w:tc>
      </w:tr>
      <w:tr w14:paraId="73024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1" w:type="dxa"/>
            <w:vAlign w:val="center"/>
          </w:tcPr>
          <w:p w14:paraId="57426C10">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val="0"/>
                <w:bCs w:val="0"/>
                <w:snapToGrid w:val="0"/>
                <w:color w:val="auto"/>
                <w:kern w:val="0"/>
                <w:sz w:val="21"/>
                <w:szCs w:val="21"/>
                <w:lang w:val="en-US" w:eastAsia="zh-CN"/>
              </w:rPr>
            </w:pPr>
            <w:r>
              <w:rPr>
                <w:rFonts w:hint="default" w:ascii="Times New Roman" w:hAnsi="Times New Roman" w:eastAsia="仿宋_GB2312" w:cs="Times New Roman"/>
                <w:b w:val="0"/>
                <w:bCs w:val="0"/>
                <w:snapToGrid w:val="0"/>
                <w:color w:val="auto"/>
                <w:kern w:val="0"/>
                <w:sz w:val="21"/>
                <w:szCs w:val="21"/>
              </w:rPr>
              <w:t>2</w:t>
            </w:r>
          </w:p>
        </w:tc>
        <w:tc>
          <w:tcPr>
            <w:tcW w:w="1649" w:type="dxa"/>
            <w:vAlign w:val="center"/>
          </w:tcPr>
          <w:p w14:paraId="7324E007">
            <w:pPr>
              <w:keepNext w:val="0"/>
              <w:keepLines w:val="0"/>
              <w:widowControl/>
              <w:suppressLineNumbers w:val="0"/>
              <w:jc w:val="center"/>
              <w:textAlignment w:val="center"/>
              <w:rPr>
                <w:rFonts w:hint="default" w:ascii="Times New Roman" w:hAnsi="Times New Roman" w:eastAsia="仿宋_GB2312" w:cs="Times New Roman"/>
                <w:b w:val="0"/>
                <w:bCs w:val="0"/>
                <w:snapToGrid w:val="0"/>
                <w:color w:val="auto"/>
                <w:kern w:val="0"/>
                <w:sz w:val="21"/>
                <w:szCs w:val="21"/>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公用经费</w:t>
            </w:r>
          </w:p>
        </w:tc>
        <w:tc>
          <w:tcPr>
            <w:tcW w:w="1206" w:type="dxa"/>
            <w:vAlign w:val="center"/>
          </w:tcPr>
          <w:p w14:paraId="1E947D96">
            <w:pPr>
              <w:keepNext w:val="0"/>
              <w:keepLines w:val="0"/>
              <w:widowControl/>
              <w:suppressLineNumbers w:val="0"/>
              <w:jc w:val="right"/>
              <w:textAlignment w:val="center"/>
              <w:rPr>
                <w:rFonts w:hint="default" w:ascii="Times New Roman" w:hAnsi="Times New Roman" w:eastAsia="仿宋_GB2312" w:cs="Times New Roman"/>
                <w:b w:val="0"/>
                <w:bCs w:val="0"/>
                <w:snapToGrid w:val="0"/>
                <w:color w:val="auto"/>
                <w:kern w:val="0"/>
                <w:sz w:val="21"/>
                <w:szCs w:val="21"/>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513.44</w:t>
            </w:r>
          </w:p>
        </w:tc>
        <w:tc>
          <w:tcPr>
            <w:tcW w:w="982" w:type="dxa"/>
            <w:vAlign w:val="center"/>
          </w:tcPr>
          <w:p w14:paraId="4441C0AF">
            <w:pPr>
              <w:keepNext w:val="0"/>
              <w:keepLines w:val="0"/>
              <w:widowControl/>
              <w:suppressLineNumbers w:val="0"/>
              <w:jc w:val="right"/>
              <w:textAlignment w:val="center"/>
              <w:rPr>
                <w:rFonts w:hint="default" w:ascii="Times New Roman" w:hAnsi="Times New Roman" w:eastAsia="仿宋_GB2312" w:cs="Times New Roman"/>
                <w:i w:val="0"/>
                <w:iCs w:val="0"/>
                <w:snapToGrid w:val="0"/>
                <w:color w:val="auto"/>
                <w:kern w:val="0"/>
                <w:sz w:val="22"/>
                <w:szCs w:val="22"/>
                <w:u w:val="none"/>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12.10</w:t>
            </w:r>
          </w:p>
        </w:tc>
        <w:tc>
          <w:tcPr>
            <w:tcW w:w="1206" w:type="dxa"/>
            <w:vAlign w:val="center"/>
          </w:tcPr>
          <w:p w14:paraId="2A39C1D1">
            <w:pPr>
              <w:keepNext w:val="0"/>
              <w:keepLines w:val="0"/>
              <w:widowControl/>
              <w:suppressLineNumbers w:val="0"/>
              <w:jc w:val="righ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525.54</w:t>
            </w:r>
          </w:p>
        </w:tc>
        <w:tc>
          <w:tcPr>
            <w:tcW w:w="1206" w:type="dxa"/>
            <w:vAlign w:val="center"/>
          </w:tcPr>
          <w:p w14:paraId="67F64B74">
            <w:pPr>
              <w:keepNext w:val="0"/>
              <w:keepLines w:val="0"/>
              <w:widowControl/>
              <w:suppressLineNumbers w:val="0"/>
              <w:jc w:val="righ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3,482.58</w:t>
            </w:r>
          </w:p>
        </w:tc>
        <w:tc>
          <w:tcPr>
            <w:tcW w:w="994" w:type="dxa"/>
            <w:vAlign w:val="center"/>
          </w:tcPr>
          <w:p w14:paraId="2B43FDDC">
            <w:pPr>
              <w:keepNext w:val="0"/>
              <w:keepLines w:val="0"/>
              <w:widowControl/>
              <w:suppressLineNumbers w:val="0"/>
              <w:jc w:val="right"/>
              <w:textAlignment w:val="center"/>
              <w:rPr>
                <w:rFonts w:hint="default" w:ascii="Times New Roman" w:hAnsi="Times New Roman" w:eastAsia="仿宋_GB2312" w:cs="Times New Roman"/>
                <w:i w:val="0"/>
                <w:iCs w:val="0"/>
                <w:snapToGrid w:val="0"/>
                <w:color w:val="auto"/>
                <w:kern w:val="0"/>
                <w:sz w:val="22"/>
                <w:szCs w:val="22"/>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-2,957.04</w:t>
            </w:r>
          </w:p>
        </w:tc>
        <w:tc>
          <w:tcPr>
            <w:tcW w:w="1154" w:type="dxa"/>
            <w:vAlign w:val="center"/>
          </w:tcPr>
          <w:p w14:paraId="10B634E5">
            <w:pPr>
              <w:keepNext w:val="0"/>
              <w:keepLines w:val="0"/>
              <w:widowControl/>
              <w:suppressLineNumbers w:val="0"/>
              <w:jc w:val="right"/>
              <w:textAlignment w:val="center"/>
              <w:rPr>
                <w:rFonts w:hint="default" w:ascii="Times New Roman" w:hAnsi="Times New Roman" w:eastAsia="仿宋_GB2312" w:cs="Times New Roman"/>
                <w:i w:val="0"/>
                <w:iCs w:val="0"/>
                <w:snapToGrid w:val="0"/>
                <w:color w:val="auto"/>
                <w:kern w:val="0"/>
                <w:sz w:val="22"/>
                <w:szCs w:val="22"/>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662.67%</w:t>
            </w:r>
          </w:p>
        </w:tc>
      </w:tr>
      <w:tr w14:paraId="077A1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1" w:type="dxa"/>
            <w:vAlign w:val="center"/>
          </w:tcPr>
          <w:p w14:paraId="59004D0D">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b w:val="0"/>
                <w:bCs w:val="0"/>
                <w:snapToGrid w:val="0"/>
                <w:color w:val="auto"/>
                <w:kern w:val="0"/>
                <w:sz w:val="21"/>
                <w:szCs w:val="21"/>
                <w:lang w:val="en-US" w:eastAsia="zh-CN"/>
              </w:rPr>
            </w:pPr>
          </w:p>
        </w:tc>
        <w:tc>
          <w:tcPr>
            <w:tcW w:w="1649" w:type="dxa"/>
            <w:vAlign w:val="center"/>
          </w:tcPr>
          <w:p w14:paraId="17C15672">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b w:val="0"/>
                <w:bCs w:val="0"/>
                <w:snapToGrid w:val="0"/>
                <w:color w:val="auto"/>
                <w:kern w:val="0"/>
                <w:sz w:val="21"/>
                <w:szCs w:val="21"/>
                <w:lang w:val="en-US" w:eastAsia="zh-CN"/>
              </w:rPr>
            </w:pPr>
            <w:r>
              <w:rPr>
                <w:rFonts w:hint="default" w:ascii="Times New Roman" w:hAnsi="Times New Roman" w:eastAsia="仿宋_GB2312" w:cs="Times New Roman"/>
                <w:b w:val="0"/>
                <w:bCs w:val="0"/>
                <w:snapToGrid w:val="0"/>
                <w:color w:val="auto"/>
                <w:kern w:val="0"/>
                <w:sz w:val="21"/>
                <w:szCs w:val="21"/>
                <w:lang w:val="en-US" w:eastAsia="zh-CN"/>
              </w:rPr>
              <w:t>小计</w:t>
            </w:r>
          </w:p>
        </w:tc>
        <w:tc>
          <w:tcPr>
            <w:tcW w:w="1206" w:type="dxa"/>
            <w:vAlign w:val="center"/>
          </w:tcPr>
          <w:p w14:paraId="5BA5606E">
            <w:pPr>
              <w:keepNext w:val="0"/>
              <w:keepLines w:val="0"/>
              <w:widowControl/>
              <w:suppressLineNumbers w:val="0"/>
              <w:jc w:val="right"/>
              <w:textAlignment w:val="center"/>
              <w:rPr>
                <w:rFonts w:hint="default" w:ascii="Times New Roman" w:hAnsi="Times New Roman" w:eastAsia="仿宋_GB2312" w:cs="Times New Roman"/>
                <w:i w:val="0"/>
                <w:iCs w:val="0"/>
                <w:snapToGrid w:val="0"/>
                <w:color w:val="auto"/>
                <w:kern w:val="0"/>
                <w:sz w:val="22"/>
                <w:szCs w:val="22"/>
                <w:u w:val="none"/>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11,541.87</w:t>
            </w:r>
          </w:p>
        </w:tc>
        <w:tc>
          <w:tcPr>
            <w:tcW w:w="982" w:type="dxa"/>
            <w:vAlign w:val="center"/>
          </w:tcPr>
          <w:p w14:paraId="6954BB4E">
            <w:pPr>
              <w:keepNext w:val="0"/>
              <w:keepLines w:val="0"/>
              <w:widowControl/>
              <w:suppressLineNumbers w:val="0"/>
              <w:jc w:val="right"/>
              <w:textAlignment w:val="center"/>
              <w:rPr>
                <w:rFonts w:hint="default" w:ascii="Times New Roman" w:hAnsi="Times New Roman" w:eastAsia="仿宋_GB2312" w:cs="Times New Roman"/>
                <w:i w:val="0"/>
                <w:iCs w:val="0"/>
                <w:snapToGrid w:val="0"/>
                <w:color w:val="auto"/>
                <w:kern w:val="0"/>
                <w:sz w:val="22"/>
                <w:szCs w:val="22"/>
                <w:u w:val="none"/>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620.53</w:t>
            </w:r>
          </w:p>
        </w:tc>
        <w:tc>
          <w:tcPr>
            <w:tcW w:w="1206" w:type="dxa"/>
            <w:vAlign w:val="center"/>
          </w:tcPr>
          <w:p w14:paraId="1D6C1F91">
            <w:pPr>
              <w:keepNext w:val="0"/>
              <w:keepLines w:val="0"/>
              <w:widowControl/>
              <w:suppressLineNumbers w:val="0"/>
              <w:jc w:val="right"/>
              <w:textAlignment w:val="center"/>
              <w:rPr>
                <w:rFonts w:hint="default" w:ascii="Times New Roman" w:hAnsi="Times New Roman" w:eastAsia="仿宋_GB2312" w:cs="Times New Roman"/>
                <w:snapToGrid w:val="0"/>
                <w:color w:val="auto"/>
                <w:kern w:val="0"/>
                <w:sz w:val="32"/>
                <w:szCs w:val="32"/>
                <w:vertAlign w:val="baseline"/>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12,162.40</w:t>
            </w:r>
          </w:p>
        </w:tc>
        <w:tc>
          <w:tcPr>
            <w:tcW w:w="1206" w:type="dxa"/>
            <w:vAlign w:val="center"/>
          </w:tcPr>
          <w:p w14:paraId="6FFECC80">
            <w:pPr>
              <w:keepNext w:val="0"/>
              <w:keepLines w:val="0"/>
              <w:widowControl/>
              <w:suppressLineNumbers w:val="0"/>
              <w:jc w:val="right"/>
              <w:textAlignment w:val="center"/>
              <w:rPr>
                <w:rFonts w:hint="default" w:ascii="Times New Roman" w:hAnsi="Times New Roman" w:eastAsia="仿宋_GB2312" w:cs="Times New Roman"/>
                <w:i w:val="0"/>
                <w:iCs w:val="0"/>
                <w:snapToGrid w:val="0"/>
                <w:color w:val="auto"/>
                <w:kern w:val="0"/>
                <w:sz w:val="22"/>
                <w:szCs w:val="22"/>
                <w:u w:val="none"/>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16,069.46</w:t>
            </w:r>
          </w:p>
        </w:tc>
        <w:tc>
          <w:tcPr>
            <w:tcW w:w="994" w:type="dxa"/>
            <w:vAlign w:val="center"/>
          </w:tcPr>
          <w:p w14:paraId="60080BF1">
            <w:pPr>
              <w:keepNext w:val="0"/>
              <w:keepLines w:val="0"/>
              <w:widowControl/>
              <w:suppressLineNumbers w:val="0"/>
              <w:jc w:val="right"/>
              <w:textAlignment w:val="center"/>
              <w:rPr>
                <w:rFonts w:hint="default" w:ascii="Times New Roman" w:hAnsi="Times New Roman" w:eastAsia="仿宋_GB2312" w:cs="Times New Roman"/>
                <w:i w:val="0"/>
                <w:iCs w:val="0"/>
                <w:snapToGrid w:val="0"/>
                <w:color w:val="auto"/>
                <w:kern w:val="0"/>
                <w:sz w:val="22"/>
                <w:szCs w:val="22"/>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-3,907.06</w:t>
            </w:r>
          </w:p>
        </w:tc>
        <w:tc>
          <w:tcPr>
            <w:tcW w:w="1154" w:type="dxa"/>
            <w:vAlign w:val="center"/>
          </w:tcPr>
          <w:p w14:paraId="0A9EC6C0">
            <w:pPr>
              <w:keepNext w:val="0"/>
              <w:keepLines w:val="0"/>
              <w:widowControl/>
              <w:suppressLineNumbers w:val="0"/>
              <w:jc w:val="right"/>
              <w:textAlignment w:val="center"/>
              <w:rPr>
                <w:rFonts w:hint="default" w:ascii="Times New Roman" w:hAnsi="Times New Roman" w:eastAsia="仿宋_GB2312" w:cs="Times New Roman"/>
                <w:i w:val="0"/>
                <w:iCs w:val="0"/>
                <w:snapToGrid w:val="0"/>
                <w:color w:val="auto"/>
                <w:kern w:val="0"/>
                <w:sz w:val="22"/>
                <w:szCs w:val="22"/>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132.12%</w:t>
            </w:r>
          </w:p>
        </w:tc>
      </w:tr>
    </w:tbl>
    <w:p w14:paraId="0A99ABF6">
      <w:pPr>
        <w:pStyle w:val="3"/>
        <w:keepNext w:val="0"/>
        <w:keepLines w:val="0"/>
        <w:pageBreakBefore w:val="0"/>
        <w:widowControl/>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由表一可知，人员经费支出</w:t>
      </w:r>
      <w:r>
        <w:rPr>
          <w:rFonts w:hint="default" w:ascii="Times New Roman" w:hAnsi="Times New Roman" w:eastAsia="仿宋_GB2312" w:cs="Times New Roman"/>
          <w:snapToGrid w:val="0"/>
          <w:color w:val="auto"/>
          <w:kern w:val="0"/>
          <w:sz w:val="32"/>
          <w:szCs w:val="32"/>
          <w:lang w:val="en-US" w:eastAsia="zh-CN"/>
        </w:rPr>
        <w:t>12,586.88</w:t>
      </w:r>
      <w:r>
        <w:rPr>
          <w:rFonts w:hint="default" w:ascii="Times New Roman" w:hAnsi="Times New Roman" w:eastAsia="仿宋_GB2312" w:cs="Times New Roman"/>
          <w:color w:val="auto"/>
          <w:lang w:val="en-US" w:eastAsia="zh-CN"/>
        </w:rPr>
        <w:t>万元。主要用于在职人员、退休人员相关福利待遇，包括基本工资、津贴补贴、绩效工资、奖金、社会保障缴费、住房公积金等。</w:t>
      </w:r>
    </w:p>
    <w:p w14:paraId="691AF39D">
      <w:pPr>
        <w:pStyle w:val="3"/>
        <w:keepNext w:val="0"/>
        <w:keepLines w:val="0"/>
        <w:pageBreakBefore w:val="0"/>
        <w:widowControl/>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公用经费支出</w:t>
      </w:r>
      <w:r>
        <w:rPr>
          <w:rFonts w:hint="default" w:ascii="Times New Roman" w:hAnsi="Times New Roman" w:eastAsia="仿宋_GB2312" w:cs="Times New Roman"/>
          <w:snapToGrid w:val="0"/>
          <w:color w:val="auto"/>
          <w:kern w:val="0"/>
          <w:sz w:val="32"/>
          <w:szCs w:val="32"/>
          <w:lang w:val="en-US" w:eastAsia="zh-CN"/>
        </w:rPr>
        <w:t>3,482.58</w:t>
      </w:r>
      <w:r>
        <w:rPr>
          <w:rFonts w:hint="default" w:ascii="Times New Roman" w:hAnsi="Times New Roman" w:eastAsia="仿宋_GB2312" w:cs="Times New Roman"/>
          <w:color w:val="auto"/>
          <w:lang w:val="en-US" w:eastAsia="zh-CN"/>
        </w:rPr>
        <w:t>万元，主要用于保障技师学院基本运行而发生各项费用，包括水费、电费、培训费、物业管理费、邮电费、劳务费、“三公”经费、其他交通费用、工会经费等。</w:t>
      </w:r>
    </w:p>
    <w:p w14:paraId="7B8B88E1">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3" w:firstLineChars="200"/>
        <w:jc w:val="both"/>
        <w:textAlignment w:val="baseline"/>
        <w:rPr>
          <w:rFonts w:hint="default" w:ascii="Times New Roman" w:hAnsi="Times New Roman" w:eastAsia="楷体_GB2312" w:cs="Times New Roman"/>
          <w:b/>
          <w:bCs/>
          <w:snapToGrid w:val="0"/>
          <w:color w:val="auto"/>
          <w:kern w:val="0"/>
          <w:sz w:val="32"/>
          <w:szCs w:val="32"/>
          <w:highlight w:val="none"/>
          <w:lang w:val="en-US" w:eastAsia="zh-CN"/>
        </w:rPr>
      </w:pPr>
      <w:r>
        <w:rPr>
          <w:rFonts w:hint="default" w:ascii="Times New Roman" w:hAnsi="Times New Roman" w:eastAsia="楷体_GB2312" w:cs="Times New Roman"/>
          <w:b/>
          <w:bCs/>
          <w:snapToGrid w:val="0"/>
          <w:color w:val="auto"/>
          <w:kern w:val="0"/>
          <w:sz w:val="32"/>
          <w:szCs w:val="32"/>
          <w:highlight w:val="none"/>
          <w:lang w:val="en-US" w:eastAsia="zh-CN"/>
        </w:rPr>
        <w:t xml:space="preserve">（二）“三公”经费 </w:t>
      </w:r>
    </w:p>
    <w:p w14:paraId="40DDE4CC">
      <w:pPr>
        <w:pStyle w:val="3"/>
        <w:keepNext w:val="0"/>
        <w:keepLines w:val="0"/>
        <w:pageBreakBefore w:val="0"/>
        <w:widowControl/>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snapToGrid w:val="0"/>
          <w:color w:val="auto"/>
          <w:kern w:val="0"/>
          <w:sz w:val="32"/>
          <w:szCs w:val="32"/>
          <w:highlight w:val="none"/>
          <w:lang w:val="en-US" w:eastAsia="zh-CN"/>
        </w:rPr>
      </w:pPr>
      <w:r>
        <w:rPr>
          <w:rFonts w:hint="default" w:ascii="Times New Roman" w:hAnsi="Times New Roman" w:eastAsia="仿宋_GB2312" w:cs="Times New Roman"/>
          <w:snapToGrid w:val="0"/>
          <w:color w:val="auto"/>
          <w:kern w:val="0"/>
          <w:sz w:val="32"/>
          <w:szCs w:val="32"/>
          <w:highlight w:val="none"/>
          <w:lang w:val="en-US" w:eastAsia="zh-CN"/>
        </w:rPr>
        <w:t>2022年技师学院“三公”经费支出52.79万元，其中：公务用车购置费19.12万元，公务用车运行维护费22.23万元、公务接待费11.44万元、因公出国（境）费0.00万元。</w:t>
      </w:r>
    </w:p>
    <w:p w14:paraId="128E89C8">
      <w:pPr>
        <w:pStyle w:val="3"/>
        <w:keepNext w:val="0"/>
        <w:keepLines w:val="0"/>
        <w:pageBreakBefore w:val="0"/>
        <w:widowControl/>
        <w:kinsoku w:val="0"/>
        <w:wordWrap/>
        <w:overflowPunct/>
        <w:topLinePunct w:val="0"/>
        <w:autoSpaceDE w:val="0"/>
        <w:autoSpaceDN w:val="0"/>
        <w:bidi w:val="0"/>
        <w:adjustRightInd/>
        <w:snapToGrid/>
        <w:spacing w:line="580" w:lineRule="exact"/>
        <w:jc w:val="center"/>
        <w:textAlignment w:val="baseline"/>
        <w:rPr>
          <w:rFonts w:hint="default" w:ascii="Times New Roman" w:hAnsi="Times New Roman" w:eastAsia="仿宋_GB2312" w:cs="Times New Roman"/>
          <w:b/>
          <w:bCs/>
          <w:color w:val="auto"/>
          <w:highlight w:val="none"/>
          <w:lang w:val="en-US" w:eastAsia="zh-CN"/>
        </w:rPr>
      </w:pPr>
      <w:r>
        <w:rPr>
          <w:rFonts w:hint="default" w:ascii="Times New Roman" w:hAnsi="Times New Roman" w:eastAsia="仿宋_GB2312" w:cs="Times New Roman"/>
          <w:b/>
          <w:bCs/>
          <w:color w:val="auto"/>
          <w:highlight w:val="none"/>
          <w:lang w:val="en-US" w:eastAsia="zh-CN"/>
        </w:rPr>
        <w:t>表二：“三公”经费预决算对比表（单位：万元）</w:t>
      </w:r>
    </w:p>
    <w:tbl>
      <w:tblPr>
        <w:tblStyle w:val="10"/>
        <w:tblpPr w:leftFromText="181" w:rightFromText="181" w:vertAnchor="text" w:horzAnchor="page" w:tblpX="1883"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6"/>
        <w:gridCol w:w="1401"/>
        <w:gridCol w:w="888"/>
        <w:gridCol w:w="946"/>
        <w:gridCol w:w="946"/>
        <w:gridCol w:w="947"/>
        <w:gridCol w:w="1039"/>
        <w:gridCol w:w="946"/>
        <w:gridCol w:w="969"/>
      </w:tblGrid>
      <w:tr w14:paraId="1ACFB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6" w:type="dxa"/>
            <w:vMerge w:val="restart"/>
            <w:vAlign w:val="center"/>
          </w:tcPr>
          <w:p w14:paraId="2E723739">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b/>
                <w:bCs/>
                <w:color w:val="auto"/>
                <w:szCs w:val="21"/>
                <w:highlight w:val="none"/>
              </w:rPr>
              <w:t>序号</w:t>
            </w:r>
          </w:p>
        </w:tc>
        <w:tc>
          <w:tcPr>
            <w:tcW w:w="1401" w:type="dxa"/>
            <w:vMerge w:val="restart"/>
            <w:vAlign w:val="center"/>
          </w:tcPr>
          <w:p w14:paraId="143222B0">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b/>
                <w:bCs/>
                <w:color w:val="auto"/>
                <w:szCs w:val="21"/>
                <w:highlight w:val="none"/>
              </w:rPr>
              <w:t>经济科目</w:t>
            </w:r>
          </w:p>
        </w:tc>
        <w:tc>
          <w:tcPr>
            <w:tcW w:w="888" w:type="dxa"/>
            <w:vMerge w:val="restart"/>
            <w:vAlign w:val="center"/>
          </w:tcPr>
          <w:p w14:paraId="5AA4BA34">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bCs/>
                <w:color w:val="auto"/>
                <w:szCs w:val="21"/>
                <w:highlight w:val="none"/>
              </w:rPr>
            </w:pPr>
            <w:r>
              <w:rPr>
                <w:rFonts w:hint="default" w:ascii="Times New Roman" w:hAnsi="Times New Roman" w:eastAsia="仿宋_GB2312" w:cs="Times New Roman"/>
                <w:b/>
                <w:bCs/>
                <w:color w:val="auto"/>
                <w:szCs w:val="21"/>
                <w:highlight w:val="none"/>
              </w:rPr>
              <w:t>202</w:t>
            </w:r>
            <w:r>
              <w:rPr>
                <w:rFonts w:hint="default" w:ascii="Times New Roman" w:hAnsi="Times New Roman" w:eastAsia="仿宋_GB2312" w:cs="Times New Roman"/>
                <w:b/>
                <w:bCs/>
                <w:color w:val="auto"/>
                <w:szCs w:val="21"/>
                <w:highlight w:val="none"/>
                <w:lang w:val="en-US" w:eastAsia="zh-CN"/>
              </w:rPr>
              <w:t>1</w:t>
            </w:r>
            <w:r>
              <w:rPr>
                <w:rFonts w:hint="default" w:ascii="Times New Roman" w:hAnsi="Times New Roman" w:eastAsia="仿宋_GB2312" w:cs="Times New Roman"/>
                <w:b/>
                <w:bCs/>
                <w:color w:val="auto"/>
                <w:szCs w:val="21"/>
                <w:highlight w:val="none"/>
              </w:rPr>
              <w:t>年</w:t>
            </w:r>
          </w:p>
          <w:p w14:paraId="4CF22BB2">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b/>
                <w:bCs/>
                <w:color w:val="auto"/>
                <w:szCs w:val="21"/>
                <w:highlight w:val="none"/>
              </w:rPr>
              <w:t>决算</w:t>
            </w:r>
          </w:p>
        </w:tc>
        <w:tc>
          <w:tcPr>
            <w:tcW w:w="946" w:type="dxa"/>
            <w:vMerge w:val="restart"/>
            <w:vAlign w:val="center"/>
          </w:tcPr>
          <w:p w14:paraId="28DFD564">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bCs/>
                <w:color w:val="auto"/>
                <w:szCs w:val="21"/>
                <w:highlight w:val="none"/>
              </w:rPr>
            </w:pPr>
            <w:r>
              <w:rPr>
                <w:rFonts w:hint="default" w:ascii="Times New Roman" w:hAnsi="Times New Roman" w:eastAsia="仿宋_GB2312" w:cs="Times New Roman"/>
                <w:b/>
                <w:bCs/>
                <w:color w:val="auto"/>
                <w:szCs w:val="21"/>
                <w:highlight w:val="none"/>
              </w:rPr>
              <w:t>202</w:t>
            </w:r>
            <w:r>
              <w:rPr>
                <w:rFonts w:hint="default" w:ascii="Times New Roman" w:hAnsi="Times New Roman" w:eastAsia="仿宋_GB2312" w:cs="Times New Roman"/>
                <w:b/>
                <w:bCs/>
                <w:color w:val="auto"/>
                <w:szCs w:val="21"/>
                <w:highlight w:val="none"/>
                <w:lang w:val="en-US" w:eastAsia="zh-CN"/>
              </w:rPr>
              <w:t>2</w:t>
            </w:r>
            <w:r>
              <w:rPr>
                <w:rFonts w:hint="default" w:ascii="Times New Roman" w:hAnsi="Times New Roman" w:eastAsia="仿宋_GB2312" w:cs="Times New Roman"/>
                <w:b/>
                <w:bCs/>
                <w:color w:val="auto"/>
                <w:szCs w:val="21"/>
                <w:highlight w:val="none"/>
              </w:rPr>
              <w:t>年</w:t>
            </w:r>
          </w:p>
          <w:p w14:paraId="5651CBB3">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b/>
                <w:bCs/>
                <w:color w:val="auto"/>
                <w:szCs w:val="21"/>
                <w:highlight w:val="none"/>
              </w:rPr>
              <w:t>预算</w:t>
            </w:r>
          </w:p>
        </w:tc>
        <w:tc>
          <w:tcPr>
            <w:tcW w:w="946" w:type="dxa"/>
            <w:vMerge w:val="restart"/>
            <w:vAlign w:val="center"/>
          </w:tcPr>
          <w:p w14:paraId="1229E60E">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bCs/>
                <w:color w:val="auto"/>
                <w:szCs w:val="21"/>
                <w:highlight w:val="none"/>
              </w:rPr>
            </w:pPr>
            <w:r>
              <w:rPr>
                <w:rFonts w:hint="default" w:ascii="Times New Roman" w:hAnsi="Times New Roman" w:eastAsia="仿宋_GB2312" w:cs="Times New Roman"/>
                <w:b/>
                <w:bCs/>
                <w:color w:val="auto"/>
                <w:szCs w:val="21"/>
                <w:highlight w:val="none"/>
              </w:rPr>
              <w:t>202</w:t>
            </w:r>
            <w:r>
              <w:rPr>
                <w:rFonts w:hint="default" w:ascii="Times New Roman" w:hAnsi="Times New Roman" w:eastAsia="仿宋_GB2312" w:cs="Times New Roman"/>
                <w:b/>
                <w:bCs/>
                <w:color w:val="auto"/>
                <w:szCs w:val="21"/>
                <w:highlight w:val="none"/>
                <w:lang w:val="en-US" w:eastAsia="zh-CN"/>
              </w:rPr>
              <w:t>2</w:t>
            </w:r>
            <w:r>
              <w:rPr>
                <w:rFonts w:hint="default" w:ascii="Times New Roman" w:hAnsi="Times New Roman" w:eastAsia="仿宋_GB2312" w:cs="Times New Roman"/>
                <w:b/>
                <w:bCs/>
                <w:color w:val="auto"/>
                <w:szCs w:val="21"/>
                <w:highlight w:val="none"/>
              </w:rPr>
              <w:t>年</w:t>
            </w:r>
          </w:p>
          <w:p w14:paraId="508E8C4A">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color w:val="auto"/>
                <w:highlight w:val="yellow"/>
                <w:vertAlign w:val="baseline"/>
                <w:lang w:val="en-US" w:eastAsia="zh-CN"/>
              </w:rPr>
            </w:pPr>
            <w:r>
              <w:rPr>
                <w:rFonts w:hint="default" w:ascii="Times New Roman" w:hAnsi="Times New Roman" w:eastAsia="仿宋_GB2312" w:cs="Times New Roman"/>
                <w:b/>
                <w:bCs/>
                <w:color w:val="auto"/>
                <w:szCs w:val="21"/>
                <w:highlight w:val="none"/>
              </w:rPr>
              <w:t>决算</w:t>
            </w:r>
          </w:p>
        </w:tc>
        <w:tc>
          <w:tcPr>
            <w:tcW w:w="1898" w:type="dxa"/>
            <w:gridSpan w:val="2"/>
            <w:vAlign w:val="center"/>
          </w:tcPr>
          <w:p w14:paraId="1CDD5F6D">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bCs/>
                <w:color w:val="auto"/>
                <w:szCs w:val="21"/>
                <w:highlight w:val="none"/>
              </w:rPr>
            </w:pPr>
            <w:r>
              <w:rPr>
                <w:rFonts w:hint="default" w:ascii="Times New Roman" w:hAnsi="Times New Roman" w:eastAsia="仿宋_GB2312" w:cs="Times New Roman"/>
                <w:b/>
                <w:bCs/>
                <w:color w:val="auto"/>
                <w:szCs w:val="21"/>
                <w:highlight w:val="none"/>
              </w:rPr>
              <w:t>2</w:t>
            </w:r>
            <w:r>
              <w:rPr>
                <w:rFonts w:hint="default" w:ascii="Times New Roman" w:hAnsi="Times New Roman" w:eastAsia="仿宋_GB2312" w:cs="Times New Roman"/>
                <w:b/>
                <w:bCs/>
                <w:color w:val="auto"/>
                <w:szCs w:val="21"/>
                <w:highlight w:val="none"/>
                <w:lang w:val="en-US" w:eastAsia="zh-CN"/>
              </w:rPr>
              <w:t>2</w:t>
            </w:r>
            <w:r>
              <w:rPr>
                <w:rFonts w:hint="default" w:ascii="Times New Roman" w:hAnsi="Times New Roman" w:eastAsia="仿宋_GB2312" w:cs="Times New Roman"/>
                <w:b/>
                <w:bCs/>
                <w:color w:val="auto"/>
                <w:szCs w:val="21"/>
                <w:highlight w:val="none"/>
              </w:rPr>
              <w:t>年决算较年初</w:t>
            </w:r>
          </w:p>
          <w:p w14:paraId="4BE9E924">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bCs/>
                <w:color w:val="auto"/>
                <w:szCs w:val="21"/>
                <w:highlight w:val="none"/>
                <w:lang w:val="en-US" w:eastAsia="zh-CN"/>
              </w:rPr>
            </w:pPr>
            <w:r>
              <w:rPr>
                <w:rFonts w:hint="default" w:ascii="Times New Roman" w:hAnsi="Times New Roman" w:eastAsia="仿宋_GB2312" w:cs="Times New Roman"/>
                <w:b/>
                <w:bCs/>
                <w:color w:val="auto"/>
                <w:szCs w:val="21"/>
                <w:highlight w:val="none"/>
              </w:rPr>
              <w:t>预算（增+减-）</w:t>
            </w:r>
          </w:p>
        </w:tc>
        <w:tc>
          <w:tcPr>
            <w:tcW w:w="1897" w:type="dxa"/>
            <w:gridSpan w:val="2"/>
            <w:vAlign w:val="center"/>
          </w:tcPr>
          <w:p w14:paraId="75CB8894">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bCs/>
                <w:color w:val="auto"/>
                <w:szCs w:val="21"/>
                <w:highlight w:val="none"/>
              </w:rPr>
            </w:pPr>
            <w:r>
              <w:rPr>
                <w:rFonts w:hint="default" w:ascii="Times New Roman" w:hAnsi="Times New Roman" w:eastAsia="仿宋_GB2312" w:cs="Times New Roman"/>
                <w:b/>
                <w:bCs/>
                <w:color w:val="auto"/>
                <w:szCs w:val="21"/>
                <w:highlight w:val="none"/>
              </w:rPr>
              <w:t>2</w:t>
            </w:r>
            <w:r>
              <w:rPr>
                <w:rFonts w:hint="default" w:ascii="Times New Roman" w:hAnsi="Times New Roman" w:eastAsia="仿宋_GB2312" w:cs="Times New Roman"/>
                <w:b/>
                <w:bCs/>
                <w:color w:val="auto"/>
                <w:szCs w:val="21"/>
                <w:highlight w:val="none"/>
                <w:lang w:val="en-US" w:eastAsia="zh-CN"/>
              </w:rPr>
              <w:t>2</w:t>
            </w:r>
            <w:r>
              <w:rPr>
                <w:rFonts w:hint="default" w:ascii="Times New Roman" w:hAnsi="Times New Roman" w:eastAsia="仿宋_GB2312" w:cs="Times New Roman"/>
                <w:b/>
                <w:bCs/>
                <w:color w:val="auto"/>
                <w:szCs w:val="21"/>
                <w:highlight w:val="none"/>
              </w:rPr>
              <w:t>年决算较上年</w:t>
            </w:r>
          </w:p>
          <w:p w14:paraId="4F09667B">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bCs/>
                <w:color w:val="auto"/>
                <w:szCs w:val="21"/>
                <w:highlight w:val="none"/>
                <w:lang w:val="en-US" w:eastAsia="zh-CN"/>
              </w:rPr>
            </w:pPr>
            <w:r>
              <w:rPr>
                <w:rFonts w:hint="default" w:ascii="Times New Roman" w:hAnsi="Times New Roman" w:eastAsia="仿宋_GB2312" w:cs="Times New Roman"/>
                <w:b/>
                <w:bCs/>
                <w:color w:val="auto"/>
                <w:szCs w:val="21"/>
                <w:highlight w:val="none"/>
              </w:rPr>
              <w:t>决算（增+减-）</w:t>
            </w:r>
          </w:p>
        </w:tc>
      </w:tr>
      <w:tr w14:paraId="5F5A0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6" w:type="dxa"/>
            <w:vMerge w:val="continue"/>
          </w:tcPr>
          <w:p w14:paraId="10D7654D">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color w:val="auto"/>
                <w:highlight w:val="none"/>
                <w:vertAlign w:val="baseline"/>
                <w:lang w:val="en-US" w:eastAsia="zh-CN"/>
              </w:rPr>
            </w:pPr>
          </w:p>
        </w:tc>
        <w:tc>
          <w:tcPr>
            <w:tcW w:w="1401" w:type="dxa"/>
            <w:vMerge w:val="continue"/>
          </w:tcPr>
          <w:p w14:paraId="721732F2">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color w:val="auto"/>
                <w:highlight w:val="none"/>
                <w:vertAlign w:val="baseline"/>
                <w:lang w:val="en-US" w:eastAsia="zh-CN"/>
              </w:rPr>
            </w:pPr>
          </w:p>
        </w:tc>
        <w:tc>
          <w:tcPr>
            <w:tcW w:w="888" w:type="dxa"/>
            <w:vMerge w:val="continue"/>
          </w:tcPr>
          <w:p w14:paraId="293B6FBD">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color w:val="auto"/>
                <w:highlight w:val="none"/>
                <w:vertAlign w:val="baseline"/>
                <w:lang w:val="en-US" w:eastAsia="zh-CN"/>
              </w:rPr>
            </w:pPr>
          </w:p>
        </w:tc>
        <w:tc>
          <w:tcPr>
            <w:tcW w:w="946" w:type="dxa"/>
            <w:vMerge w:val="continue"/>
          </w:tcPr>
          <w:p w14:paraId="575344D6">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color w:val="auto"/>
                <w:highlight w:val="none"/>
                <w:vertAlign w:val="baseline"/>
                <w:lang w:val="en-US" w:eastAsia="zh-CN"/>
              </w:rPr>
            </w:pPr>
          </w:p>
        </w:tc>
        <w:tc>
          <w:tcPr>
            <w:tcW w:w="946" w:type="dxa"/>
            <w:vMerge w:val="continue"/>
          </w:tcPr>
          <w:p w14:paraId="77FC5F77">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color w:val="auto"/>
                <w:highlight w:val="yellow"/>
                <w:vertAlign w:val="baseline"/>
                <w:lang w:val="en-US" w:eastAsia="zh-CN"/>
              </w:rPr>
            </w:pPr>
          </w:p>
        </w:tc>
        <w:tc>
          <w:tcPr>
            <w:tcW w:w="947" w:type="dxa"/>
            <w:vAlign w:val="center"/>
          </w:tcPr>
          <w:p w14:paraId="581978A3">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bCs/>
                <w:color w:val="auto"/>
                <w:szCs w:val="21"/>
                <w:highlight w:val="none"/>
                <w:lang w:val="en-US" w:eastAsia="zh-CN"/>
              </w:rPr>
            </w:pPr>
            <w:r>
              <w:rPr>
                <w:rFonts w:hint="default" w:ascii="Times New Roman" w:hAnsi="Times New Roman" w:eastAsia="仿宋_GB2312" w:cs="Times New Roman"/>
                <w:b/>
                <w:bCs/>
                <w:color w:val="auto"/>
                <w:szCs w:val="21"/>
                <w:highlight w:val="none"/>
              </w:rPr>
              <w:t>金额</w:t>
            </w:r>
          </w:p>
        </w:tc>
        <w:tc>
          <w:tcPr>
            <w:tcW w:w="951" w:type="dxa"/>
            <w:vAlign w:val="center"/>
          </w:tcPr>
          <w:p w14:paraId="731546DF">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bCs/>
                <w:color w:val="auto"/>
                <w:szCs w:val="21"/>
                <w:highlight w:val="none"/>
                <w:lang w:val="en-US" w:eastAsia="zh-CN"/>
              </w:rPr>
            </w:pPr>
            <w:r>
              <w:rPr>
                <w:rFonts w:hint="default" w:ascii="Times New Roman" w:hAnsi="Times New Roman" w:eastAsia="仿宋_GB2312" w:cs="Times New Roman"/>
                <w:b/>
                <w:bCs/>
                <w:color w:val="auto"/>
                <w:szCs w:val="21"/>
                <w:highlight w:val="none"/>
              </w:rPr>
              <w:t>比例</w:t>
            </w:r>
          </w:p>
        </w:tc>
        <w:tc>
          <w:tcPr>
            <w:tcW w:w="946" w:type="dxa"/>
            <w:vAlign w:val="center"/>
          </w:tcPr>
          <w:p w14:paraId="121BB15C">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bCs/>
                <w:color w:val="auto"/>
                <w:szCs w:val="21"/>
                <w:highlight w:val="none"/>
                <w:lang w:val="en-US" w:eastAsia="zh-CN"/>
              </w:rPr>
            </w:pPr>
            <w:r>
              <w:rPr>
                <w:rFonts w:hint="default" w:ascii="Times New Roman" w:hAnsi="Times New Roman" w:eastAsia="仿宋_GB2312" w:cs="Times New Roman"/>
                <w:b/>
                <w:bCs/>
                <w:color w:val="auto"/>
                <w:szCs w:val="21"/>
                <w:highlight w:val="none"/>
              </w:rPr>
              <w:t>金额</w:t>
            </w:r>
          </w:p>
        </w:tc>
        <w:tc>
          <w:tcPr>
            <w:tcW w:w="951" w:type="dxa"/>
            <w:vAlign w:val="center"/>
          </w:tcPr>
          <w:p w14:paraId="05C60410">
            <w:pPr>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default" w:ascii="Times New Roman" w:hAnsi="Times New Roman" w:eastAsia="仿宋_GB2312" w:cs="Times New Roman"/>
                <w:b/>
                <w:bCs/>
                <w:color w:val="auto"/>
                <w:szCs w:val="21"/>
                <w:highlight w:val="none"/>
                <w:lang w:val="en-US" w:eastAsia="zh-CN"/>
              </w:rPr>
            </w:pPr>
            <w:r>
              <w:rPr>
                <w:rFonts w:hint="default" w:ascii="Times New Roman" w:hAnsi="Times New Roman" w:eastAsia="仿宋_GB2312" w:cs="Times New Roman"/>
                <w:b/>
                <w:bCs/>
                <w:color w:val="auto"/>
                <w:szCs w:val="21"/>
                <w:highlight w:val="none"/>
              </w:rPr>
              <w:t>比例</w:t>
            </w:r>
          </w:p>
        </w:tc>
      </w:tr>
      <w:tr w14:paraId="6FC54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6" w:type="dxa"/>
            <w:vAlign w:val="center"/>
          </w:tcPr>
          <w:p w14:paraId="0576DB6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b/>
                <w:bCs/>
                <w:color w:val="auto"/>
                <w:szCs w:val="21"/>
                <w:highlight w:val="none"/>
              </w:rPr>
              <w:t>1</w:t>
            </w:r>
          </w:p>
        </w:tc>
        <w:tc>
          <w:tcPr>
            <w:tcW w:w="1401" w:type="dxa"/>
            <w:vAlign w:val="center"/>
          </w:tcPr>
          <w:p w14:paraId="5A42B7D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color w:val="auto"/>
                <w:szCs w:val="21"/>
                <w:highlight w:val="none"/>
              </w:rPr>
              <w:t>公务用车购置及运行费</w:t>
            </w:r>
          </w:p>
        </w:tc>
        <w:tc>
          <w:tcPr>
            <w:tcW w:w="888" w:type="dxa"/>
            <w:vAlign w:val="center"/>
          </w:tcPr>
          <w:p w14:paraId="1300DE43">
            <w:pPr>
              <w:keepNext w:val="0"/>
              <w:keepLines w:val="0"/>
              <w:widowControl/>
              <w:suppressLineNumbers w:val="0"/>
              <w:jc w:val="center"/>
              <w:textAlignment w:val="top"/>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10.93</w:t>
            </w:r>
          </w:p>
        </w:tc>
        <w:tc>
          <w:tcPr>
            <w:tcW w:w="946" w:type="dxa"/>
            <w:vAlign w:val="center"/>
          </w:tcPr>
          <w:p w14:paraId="135D6716">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none"/>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80</w:t>
            </w:r>
          </w:p>
        </w:tc>
        <w:tc>
          <w:tcPr>
            <w:tcW w:w="946" w:type="dxa"/>
            <w:vAlign w:val="center"/>
          </w:tcPr>
          <w:p w14:paraId="22FB4B3B">
            <w:pPr>
              <w:keepNext w:val="0"/>
              <w:keepLines w:val="0"/>
              <w:widowControl/>
              <w:suppressLineNumbers w:val="0"/>
              <w:jc w:val="center"/>
              <w:textAlignment w:val="top"/>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41.35</w:t>
            </w:r>
          </w:p>
        </w:tc>
        <w:tc>
          <w:tcPr>
            <w:tcW w:w="947" w:type="dxa"/>
            <w:vAlign w:val="center"/>
          </w:tcPr>
          <w:p w14:paraId="3532B3DE">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-38.65</w:t>
            </w:r>
          </w:p>
        </w:tc>
        <w:tc>
          <w:tcPr>
            <w:tcW w:w="951" w:type="dxa"/>
            <w:vAlign w:val="center"/>
          </w:tcPr>
          <w:p w14:paraId="3C324979">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-48.31%</w:t>
            </w:r>
          </w:p>
        </w:tc>
        <w:tc>
          <w:tcPr>
            <w:tcW w:w="946" w:type="dxa"/>
            <w:vAlign w:val="center"/>
          </w:tcPr>
          <w:p w14:paraId="3B47E00A">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30.42</w:t>
            </w:r>
          </w:p>
        </w:tc>
        <w:tc>
          <w:tcPr>
            <w:tcW w:w="951" w:type="dxa"/>
            <w:vAlign w:val="center"/>
          </w:tcPr>
          <w:p w14:paraId="4A40FE5E">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278.32%</w:t>
            </w:r>
          </w:p>
        </w:tc>
      </w:tr>
      <w:tr w14:paraId="6854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6" w:type="dxa"/>
            <w:vAlign w:val="center"/>
          </w:tcPr>
          <w:p w14:paraId="3F86C58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b/>
                <w:bCs/>
                <w:color w:val="auto"/>
                <w:szCs w:val="21"/>
                <w:highlight w:val="none"/>
              </w:rPr>
            </w:pPr>
          </w:p>
        </w:tc>
        <w:tc>
          <w:tcPr>
            <w:tcW w:w="1401" w:type="dxa"/>
            <w:vAlign w:val="center"/>
          </w:tcPr>
          <w:p w14:paraId="0497A10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公务用车购置费</w:t>
            </w:r>
          </w:p>
        </w:tc>
        <w:tc>
          <w:tcPr>
            <w:tcW w:w="888" w:type="dxa"/>
            <w:vAlign w:val="center"/>
          </w:tcPr>
          <w:p w14:paraId="4D3C16F6">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0</w:t>
            </w:r>
          </w:p>
        </w:tc>
        <w:tc>
          <w:tcPr>
            <w:tcW w:w="946" w:type="dxa"/>
            <w:vAlign w:val="center"/>
          </w:tcPr>
          <w:p w14:paraId="2B221F1A">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18</w:t>
            </w:r>
          </w:p>
        </w:tc>
        <w:tc>
          <w:tcPr>
            <w:tcW w:w="946" w:type="dxa"/>
            <w:vAlign w:val="center"/>
          </w:tcPr>
          <w:p w14:paraId="77816E66">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19.12</w:t>
            </w:r>
          </w:p>
        </w:tc>
        <w:tc>
          <w:tcPr>
            <w:tcW w:w="947" w:type="dxa"/>
            <w:vAlign w:val="center"/>
          </w:tcPr>
          <w:p w14:paraId="3CB85E2F">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2"/>
                <w:szCs w:val="22"/>
                <w:highlight w:val="yellow"/>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1.12</w:t>
            </w:r>
          </w:p>
        </w:tc>
        <w:tc>
          <w:tcPr>
            <w:tcW w:w="951" w:type="dxa"/>
            <w:vAlign w:val="center"/>
          </w:tcPr>
          <w:p w14:paraId="25AFF3A1">
            <w:pPr>
              <w:keepNext w:val="0"/>
              <w:keepLines w:val="0"/>
              <w:widowControl/>
              <w:suppressLineNumbers w:val="0"/>
              <w:jc w:val="center"/>
              <w:textAlignment w:val="top"/>
              <w:rPr>
                <w:rFonts w:hint="default" w:ascii="Times New Roman" w:hAnsi="Times New Roman" w:eastAsia="仿宋_GB2312" w:cs="Times New Roman"/>
                <w:i w:val="0"/>
                <w:iCs w:val="0"/>
                <w:snapToGrid w:val="0"/>
                <w:color w:val="auto"/>
                <w:kern w:val="0"/>
                <w:sz w:val="21"/>
                <w:szCs w:val="21"/>
                <w:highlight w:val="yellow"/>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6.22%</w:t>
            </w:r>
          </w:p>
        </w:tc>
        <w:tc>
          <w:tcPr>
            <w:tcW w:w="946" w:type="dxa"/>
            <w:vAlign w:val="center"/>
          </w:tcPr>
          <w:p w14:paraId="02090ECF">
            <w:pPr>
              <w:keepNext w:val="0"/>
              <w:keepLines w:val="0"/>
              <w:widowControl/>
              <w:suppressLineNumbers w:val="0"/>
              <w:jc w:val="center"/>
              <w:textAlignment w:val="top"/>
              <w:rPr>
                <w:rFonts w:hint="default" w:ascii="Times New Roman" w:hAnsi="Times New Roman" w:eastAsia="仿宋_GB2312" w:cs="Times New Roman"/>
                <w:i w:val="0"/>
                <w:iCs w:val="0"/>
                <w:snapToGrid w:val="0"/>
                <w:color w:val="auto"/>
                <w:kern w:val="0"/>
                <w:sz w:val="21"/>
                <w:szCs w:val="21"/>
                <w:highlight w:val="yellow"/>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19.12</w:t>
            </w:r>
          </w:p>
        </w:tc>
        <w:tc>
          <w:tcPr>
            <w:tcW w:w="951" w:type="dxa"/>
            <w:vAlign w:val="center"/>
          </w:tcPr>
          <w:p w14:paraId="72BD0DEC">
            <w:pPr>
              <w:keepNext w:val="0"/>
              <w:keepLines w:val="0"/>
              <w:widowControl/>
              <w:suppressLineNumbers w:val="0"/>
              <w:jc w:val="center"/>
              <w:textAlignment w:val="top"/>
              <w:rPr>
                <w:rFonts w:hint="default" w:ascii="Times New Roman" w:hAnsi="Times New Roman" w:eastAsia="仿宋_GB2312" w:cs="Times New Roman"/>
                <w:i w:val="0"/>
                <w:iCs w:val="0"/>
                <w:snapToGrid w:val="0"/>
                <w:color w:val="auto"/>
                <w:kern w:val="0"/>
                <w:sz w:val="21"/>
                <w:szCs w:val="21"/>
                <w:highlight w:val="yellow"/>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0.00%</w:t>
            </w:r>
          </w:p>
        </w:tc>
      </w:tr>
      <w:tr w14:paraId="66A0A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6" w:type="dxa"/>
            <w:vAlign w:val="center"/>
          </w:tcPr>
          <w:p w14:paraId="63A6D14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b/>
                <w:bCs/>
                <w:color w:val="auto"/>
                <w:szCs w:val="21"/>
                <w:highlight w:val="none"/>
              </w:rPr>
            </w:pPr>
          </w:p>
        </w:tc>
        <w:tc>
          <w:tcPr>
            <w:tcW w:w="1401" w:type="dxa"/>
            <w:vAlign w:val="center"/>
          </w:tcPr>
          <w:p w14:paraId="12ACCC5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公务用车运行费</w:t>
            </w:r>
          </w:p>
        </w:tc>
        <w:tc>
          <w:tcPr>
            <w:tcW w:w="888" w:type="dxa"/>
            <w:vAlign w:val="center"/>
          </w:tcPr>
          <w:p w14:paraId="4484233B">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10.93</w:t>
            </w:r>
          </w:p>
        </w:tc>
        <w:tc>
          <w:tcPr>
            <w:tcW w:w="946" w:type="dxa"/>
            <w:vAlign w:val="center"/>
          </w:tcPr>
          <w:p w14:paraId="63AC6996">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62</w:t>
            </w:r>
          </w:p>
        </w:tc>
        <w:tc>
          <w:tcPr>
            <w:tcW w:w="946" w:type="dxa"/>
            <w:vAlign w:val="center"/>
          </w:tcPr>
          <w:p w14:paraId="2506429B">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22.23</w:t>
            </w:r>
          </w:p>
        </w:tc>
        <w:tc>
          <w:tcPr>
            <w:tcW w:w="947" w:type="dxa"/>
            <w:vAlign w:val="center"/>
          </w:tcPr>
          <w:p w14:paraId="37CD22E2">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2"/>
                <w:szCs w:val="22"/>
                <w:highlight w:val="yellow"/>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-39.77</w:t>
            </w:r>
          </w:p>
        </w:tc>
        <w:tc>
          <w:tcPr>
            <w:tcW w:w="951" w:type="dxa"/>
            <w:vAlign w:val="center"/>
          </w:tcPr>
          <w:p w14:paraId="566F1FE4">
            <w:pPr>
              <w:keepNext w:val="0"/>
              <w:keepLines w:val="0"/>
              <w:widowControl/>
              <w:suppressLineNumbers w:val="0"/>
              <w:jc w:val="center"/>
              <w:textAlignment w:val="top"/>
              <w:rPr>
                <w:rFonts w:hint="default" w:ascii="Times New Roman" w:hAnsi="Times New Roman" w:eastAsia="仿宋_GB2312" w:cs="Times New Roman"/>
                <w:i w:val="0"/>
                <w:iCs w:val="0"/>
                <w:snapToGrid w:val="0"/>
                <w:color w:val="auto"/>
                <w:kern w:val="0"/>
                <w:sz w:val="21"/>
                <w:szCs w:val="21"/>
                <w:highlight w:val="yellow"/>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-64.15%</w:t>
            </w:r>
          </w:p>
        </w:tc>
        <w:tc>
          <w:tcPr>
            <w:tcW w:w="946" w:type="dxa"/>
            <w:vAlign w:val="center"/>
          </w:tcPr>
          <w:p w14:paraId="6A5F96D3">
            <w:pPr>
              <w:keepNext w:val="0"/>
              <w:keepLines w:val="0"/>
              <w:widowControl/>
              <w:suppressLineNumbers w:val="0"/>
              <w:jc w:val="center"/>
              <w:textAlignment w:val="top"/>
              <w:rPr>
                <w:rFonts w:hint="default" w:ascii="Times New Roman" w:hAnsi="Times New Roman" w:eastAsia="仿宋_GB2312" w:cs="Times New Roman"/>
                <w:i w:val="0"/>
                <w:iCs w:val="0"/>
                <w:snapToGrid w:val="0"/>
                <w:color w:val="auto"/>
                <w:kern w:val="0"/>
                <w:sz w:val="21"/>
                <w:szCs w:val="21"/>
                <w:highlight w:val="yellow"/>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11.3</w:t>
            </w:r>
          </w:p>
        </w:tc>
        <w:tc>
          <w:tcPr>
            <w:tcW w:w="951" w:type="dxa"/>
            <w:vAlign w:val="center"/>
          </w:tcPr>
          <w:p w14:paraId="4F0AC7DA">
            <w:pPr>
              <w:keepNext w:val="0"/>
              <w:keepLines w:val="0"/>
              <w:widowControl/>
              <w:suppressLineNumbers w:val="0"/>
              <w:jc w:val="center"/>
              <w:textAlignment w:val="top"/>
              <w:rPr>
                <w:rFonts w:hint="default" w:ascii="Times New Roman" w:hAnsi="Times New Roman" w:eastAsia="仿宋_GB2312" w:cs="Times New Roman"/>
                <w:i w:val="0"/>
                <w:iCs w:val="0"/>
                <w:snapToGrid w:val="0"/>
                <w:color w:val="auto"/>
                <w:kern w:val="0"/>
                <w:sz w:val="21"/>
                <w:szCs w:val="21"/>
                <w:highlight w:val="yellow"/>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103.39%</w:t>
            </w:r>
          </w:p>
        </w:tc>
      </w:tr>
      <w:tr w14:paraId="06184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6" w:type="dxa"/>
            <w:vAlign w:val="center"/>
          </w:tcPr>
          <w:p w14:paraId="4CEB8EC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b/>
                <w:bCs/>
                <w:color w:val="auto"/>
                <w:szCs w:val="21"/>
                <w:highlight w:val="none"/>
              </w:rPr>
              <w:t>2</w:t>
            </w:r>
          </w:p>
        </w:tc>
        <w:tc>
          <w:tcPr>
            <w:tcW w:w="1401" w:type="dxa"/>
            <w:vAlign w:val="center"/>
          </w:tcPr>
          <w:p w14:paraId="5E7CF52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color w:val="auto"/>
                <w:szCs w:val="21"/>
                <w:highlight w:val="none"/>
              </w:rPr>
              <w:t>公务接待费</w:t>
            </w:r>
          </w:p>
        </w:tc>
        <w:tc>
          <w:tcPr>
            <w:tcW w:w="888" w:type="dxa"/>
            <w:vAlign w:val="center"/>
          </w:tcPr>
          <w:p w14:paraId="326BA10E">
            <w:pPr>
              <w:keepNext w:val="0"/>
              <w:keepLines w:val="0"/>
              <w:widowControl/>
              <w:suppressLineNumbers w:val="0"/>
              <w:jc w:val="center"/>
              <w:textAlignment w:val="center"/>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16.04</w:t>
            </w:r>
          </w:p>
        </w:tc>
        <w:tc>
          <w:tcPr>
            <w:tcW w:w="946" w:type="dxa"/>
            <w:vAlign w:val="center"/>
          </w:tcPr>
          <w:p w14:paraId="77AC3190">
            <w:pPr>
              <w:keepNext w:val="0"/>
              <w:keepLines w:val="0"/>
              <w:widowControl/>
              <w:suppressLineNumbers w:val="0"/>
              <w:jc w:val="center"/>
              <w:textAlignment w:val="center"/>
              <w:rPr>
                <w:rFonts w:hint="default" w:ascii="Times New Roman" w:hAnsi="Times New Roman" w:eastAsia="仿宋_GB2312" w:cs="Times New Roman"/>
                <w:snapToGrid w:val="0"/>
                <w:color w:val="auto"/>
                <w:kern w:val="0"/>
                <w:sz w:val="21"/>
                <w:szCs w:val="21"/>
                <w:highlight w:val="none"/>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60</w:t>
            </w:r>
          </w:p>
        </w:tc>
        <w:tc>
          <w:tcPr>
            <w:tcW w:w="946" w:type="dxa"/>
            <w:vAlign w:val="center"/>
          </w:tcPr>
          <w:p w14:paraId="5F20145D">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11.44</w:t>
            </w:r>
          </w:p>
        </w:tc>
        <w:tc>
          <w:tcPr>
            <w:tcW w:w="947" w:type="dxa"/>
            <w:vAlign w:val="center"/>
          </w:tcPr>
          <w:p w14:paraId="543CB0C8">
            <w:pPr>
              <w:keepNext w:val="0"/>
              <w:keepLines w:val="0"/>
              <w:widowControl/>
              <w:suppressLineNumbers w:val="0"/>
              <w:jc w:val="center"/>
              <w:textAlignment w:val="center"/>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-48.56</w:t>
            </w:r>
          </w:p>
        </w:tc>
        <w:tc>
          <w:tcPr>
            <w:tcW w:w="951" w:type="dxa"/>
            <w:vAlign w:val="center"/>
          </w:tcPr>
          <w:p w14:paraId="6632F3A9">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-80.93%</w:t>
            </w:r>
          </w:p>
        </w:tc>
        <w:tc>
          <w:tcPr>
            <w:tcW w:w="946" w:type="dxa"/>
            <w:vAlign w:val="center"/>
          </w:tcPr>
          <w:p w14:paraId="1841B417">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-4.6</w:t>
            </w:r>
          </w:p>
        </w:tc>
        <w:tc>
          <w:tcPr>
            <w:tcW w:w="951" w:type="dxa"/>
            <w:vAlign w:val="center"/>
          </w:tcPr>
          <w:p w14:paraId="58FBAF99">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-28.68%</w:t>
            </w:r>
          </w:p>
        </w:tc>
      </w:tr>
      <w:tr w14:paraId="75E9D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6" w:type="dxa"/>
            <w:vAlign w:val="center"/>
          </w:tcPr>
          <w:p w14:paraId="63FCBF1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b/>
                <w:bCs/>
                <w:color w:val="auto"/>
                <w:szCs w:val="21"/>
                <w:highlight w:val="none"/>
              </w:rPr>
              <w:t>3</w:t>
            </w:r>
          </w:p>
        </w:tc>
        <w:tc>
          <w:tcPr>
            <w:tcW w:w="1401" w:type="dxa"/>
            <w:vAlign w:val="center"/>
          </w:tcPr>
          <w:p w14:paraId="340BCEB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因公出国</w:t>
            </w:r>
          </w:p>
          <w:p w14:paraId="38E73C7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color w:val="auto"/>
                <w:szCs w:val="21"/>
                <w:highlight w:val="none"/>
              </w:rPr>
              <w:t>（境）费</w:t>
            </w:r>
          </w:p>
        </w:tc>
        <w:tc>
          <w:tcPr>
            <w:tcW w:w="888" w:type="dxa"/>
            <w:vAlign w:val="center"/>
          </w:tcPr>
          <w:p w14:paraId="4AB09D72">
            <w:pPr>
              <w:keepNext w:val="0"/>
              <w:keepLines w:val="0"/>
              <w:widowControl/>
              <w:suppressLineNumbers w:val="0"/>
              <w:jc w:val="center"/>
              <w:textAlignment w:val="center"/>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0</w:t>
            </w:r>
          </w:p>
        </w:tc>
        <w:tc>
          <w:tcPr>
            <w:tcW w:w="946" w:type="dxa"/>
            <w:vAlign w:val="center"/>
          </w:tcPr>
          <w:p w14:paraId="18A2DE65">
            <w:pPr>
              <w:keepNext w:val="0"/>
              <w:keepLines w:val="0"/>
              <w:widowControl/>
              <w:suppressLineNumbers w:val="0"/>
              <w:jc w:val="center"/>
              <w:textAlignment w:val="center"/>
              <w:rPr>
                <w:rFonts w:hint="default" w:ascii="Times New Roman" w:hAnsi="Times New Roman" w:eastAsia="仿宋_GB2312" w:cs="Times New Roman"/>
                <w:snapToGrid w:val="0"/>
                <w:color w:val="auto"/>
                <w:kern w:val="0"/>
                <w:sz w:val="21"/>
                <w:szCs w:val="21"/>
                <w:highlight w:val="none"/>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20</w:t>
            </w:r>
          </w:p>
        </w:tc>
        <w:tc>
          <w:tcPr>
            <w:tcW w:w="946" w:type="dxa"/>
            <w:vAlign w:val="center"/>
          </w:tcPr>
          <w:p w14:paraId="6F0F408C">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snapToGrid w:val="0"/>
                <w:color w:val="auto"/>
                <w:kern w:val="0"/>
                <w:sz w:val="21"/>
                <w:szCs w:val="21"/>
                <w:u w:val="none"/>
                <w:lang w:val="en-US" w:eastAsia="zh-CN" w:bidi="ar"/>
              </w:rPr>
              <w:t>0</w:t>
            </w:r>
          </w:p>
        </w:tc>
        <w:tc>
          <w:tcPr>
            <w:tcW w:w="947" w:type="dxa"/>
            <w:vAlign w:val="center"/>
          </w:tcPr>
          <w:p w14:paraId="1E4456A3">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-20</w:t>
            </w:r>
          </w:p>
        </w:tc>
        <w:tc>
          <w:tcPr>
            <w:tcW w:w="951" w:type="dxa"/>
            <w:vAlign w:val="center"/>
          </w:tcPr>
          <w:p w14:paraId="3538CC2A">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-100.00%</w:t>
            </w:r>
          </w:p>
        </w:tc>
        <w:tc>
          <w:tcPr>
            <w:tcW w:w="946" w:type="dxa"/>
            <w:vAlign w:val="center"/>
          </w:tcPr>
          <w:p w14:paraId="7D30D3F3">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0</w:t>
            </w:r>
          </w:p>
        </w:tc>
        <w:tc>
          <w:tcPr>
            <w:tcW w:w="951" w:type="dxa"/>
            <w:vAlign w:val="center"/>
          </w:tcPr>
          <w:p w14:paraId="7ED65095">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i w:val="0"/>
                <w:iCs w:val="0"/>
                <w:snapToGrid w:val="0"/>
                <w:color w:val="auto"/>
                <w:kern w:val="0"/>
                <w:sz w:val="21"/>
                <w:szCs w:val="21"/>
                <w:u w:val="none"/>
                <w:lang w:val="en-US" w:eastAsia="zh-CN" w:bidi="ar"/>
              </w:rPr>
              <w:t>0.00%</w:t>
            </w:r>
          </w:p>
        </w:tc>
      </w:tr>
      <w:tr w14:paraId="75F73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6" w:type="dxa"/>
            <w:vAlign w:val="center"/>
          </w:tcPr>
          <w:p w14:paraId="460641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color w:val="auto"/>
                <w:highlight w:val="none"/>
                <w:vertAlign w:val="baseline"/>
                <w:lang w:val="en-US" w:eastAsia="zh-CN"/>
              </w:rPr>
            </w:pPr>
          </w:p>
        </w:tc>
        <w:tc>
          <w:tcPr>
            <w:tcW w:w="1401" w:type="dxa"/>
            <w:vAlign w:val="center"/>
          </w:tcPr>
          <w:p w14:paraId="42BB687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b/>
                <w:bCs/>
                <w:color w:val="auto"/>
                <w:szCs w:val="21"/>
                <w:highlight w:val="none"/>
              </w:rPr>
              <w:t>小计</w:t>
            </w:r>
          </w:p>
        </w:tc>
        <w:tc>
          <w:tcPr>
            <w:tcW w:w="888" w:type="dxa"/>
            <w:vAlign w:val="center"/>
          </w:tcPr>
          <w:p w14:paraId="729EE9CB">
            <w:pPr>
              <w:keepNext w:val="0"/>
              <w:keepLines w:val="0"/>
              <w:widowControl/>
              <w:suppressLineNumbers w:val="0"/>
              <w:jc w:val="center"/>
              <w:textAlignment w:val="top"/>
              <w:rPr>
                <w:rFonts w:hint="default" w:ascii="Times New Roman" w:hAnsi="Times New Roman" w:eastAsia="仿宋_GB2312" w:cs="Times New Roman"/>
                <w:color w:val="auto"/>
                <w:highlight w:val="none"/>
                <w:vertAlign w:val="baseline"/>
                <w:lang w:val="en-US" w:eastAsia="zh-CN"/>
              </w:rPr>
            </w:pPr>
            <w:r>
              <w:rPr>
                <w:rFonts w:hint="default" w:ascii="Times New Roman" w:hAnsi="Times New Roman" w:eastAsia="仿宋_GB2312" w:cs="Times New Roman"/>
                <w:b/>
                <w:bCs/>
                <w:i w:val="0"/>
                <w:iCs w:val="0"/>
                <w:snapToGrid w:val="0"/>
                <w:color w:val="auto"/>
                <w:kern w:val="0"/>
                <w:sz w:val="21"/>
                <w:szCs w:val="21"/>
                <w:u w:val="none"/>
                <w:lang w:val="en-US" w:eastAsia="zh-CN" w:bidi="ar"/>
              </w:rPr>
              <w:t>26.97</w:t>
            </w:r>
          </w:p>
        </w:tc>
        <w:tc>
          <w:tcPr>
            <w:tcW w:w="946" w:type="dxa"/>
            <w:vAlign w:val="center"/>
          </w:tcPr>
          <w:p w14:paraId="792676D9">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none"/>
                <w:lang w:val="en-US" w:eastAsia="zh-CN"/>
              </w:rPr>
            </w:pPr>
            <w:r>
              <w:rPr>
                <w:rFonts w:hint="default" w:ascii="Times New Roman" w:hAnsi="Times New Roman" w:eastAsia="仿宋_GB2312" w:cs="Times New Roman"/>
                <w:b/>
                <w:bCs/>
                <w:i w:val="0"/>
                <w:iCs w:val="0"/>
                <w:snapToGrid w:val="0"/>
                <w:color w:val="auto"/>
                <w:kern w:val="0"/>
                <w:sz w:val="21"/>
                <w:szCs w:val="21"/>
                <w:u w:val="none"/>
                <w:lang w:val="en-US" w:eastAsia="zh-CN" w:bidi="ar"/>
              </w:rPr>
              <w:t>160</w:t>
            </w:r>
          </w:p>
        </w:tc>
        <w:tc>
          <w:tcPr>
            <w:tcW w:w="946" w:type="dxa"/>
            <w:vAlign w:val="center"/>
          </w:tcPr>
          <w:p w14:paraId="606ECF32">
            <w:pPr>
              <w:keepNext w:val="0"/>
              <w:keepLines w:val="0"/>
              <w:widowControl/>
              <w:suppressLineNumbers w:val="0"/>
              <w:jc w:val="center"/>
              <w:textAlignment w:val="top"/>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b/>
                <w:bCs/>
                <w:i w:val="0"/>
                <w:iCs w:val="0"/>
                <w:snapToGrid w:val="0"/>
                <w:color w:val="auto"/>
                <w:kern w:val="0"/>
                <w:sz w:val="21"/>
                <w:szCs w:val="21"/>
                <w:u w:val="none"/>
                <w:lang w:val="en-US" w:eastAsia="zh-CN" w:bidi="ar"/>
              </w:rPr>
              <w:t>52.79</w:t>
            </w:r>
          </w:p>
        </w:tc>
        <w:tc>
          <w:tcPr>
            <w:tcW w:w="947" w:type="dxa"/>
            <w:vAlign w:val="center"/>
          </w:tcPr>
          <w:p w14:paraId="2A16E781">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b/>
                <w:bCs/>
                <w:i w:val="0"/>
                <w:iCs w:val="0"/>
                <w:snapToGrid w:val="0"/>
                <w:color w:val="auto"/>
                <w:kern w:val="0"/>
                <w:sz w:val="21"/>
                <w:szCs w:val="21"/>
                <w:u w:val="none"/>
                <w:lang w:val="en-US" w:eastAsia="zh-CN" w:bidi="ar"/>
              </w:rPr>
              <w:t>-107.21</w:t>
            </w:r>
          </w:p>
        </w:tc>
        <w:tc>
          <w:tcPr>
            <w:tcW w:w="951" w:type="dxa"/>
            <w:vAlign w:val="center"/>
          </w:tcPr>
          <w:p w14:paraId="5B3EFC16">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b/>
                <w:bCs/>
                <w:i w:val="0"/>
                <w:iCs w:val="0"/>
                <w:snapToGrid w:val="0"/>
                <w:color w:val="auto"/>
                <w:kern w:val="0"/>
                <w:sz w:val="21"/>
                <w:szCs w:val="21"/>
                <w:u w:val="none"/>
                <w:lang w:val="en-US" w:eastAsia="zh-CN" w:bidi="ar"/>
              </w:rPr>
              <w:t>-67.01%</w:t>
            </w:r>
          </w:p>
        </w:tc>
        <w:tc>
          <w:tcPr>
            <w:tcW w:w="946" w:type="dxa"/>
            <w:vAlign w:val="center"/>
          </w:tcPr>
          <w:p w14:paraId="68DBB8FA">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b/>
                <w:bCs/>
                <w:i w:val="0"/>
                <w:iCs w:val="0"/>
                <w:snapToGrid w:val="0"/>
                <w:color w:val="auto"/>
                <w:kern w:val="0"/>
                <w:sz w:val="21"/>
                <w:szCs w:val="21"/>
                <w:u w:val="none"/>
                <w:lang w:val="en-US" w:eastAsia="zh-CN" w:bidi="ar"/>
              </w:rPr>
              <w:t>25.82</w:t>
            </w:r>
          </w:p>
        </w:tc>
        <w:tc>
          <w:tcPr>
            <w:tcW w:w="951" w:type="dxa"/>
            <w:vAlign w:val="center"/>
          </w:tcPr>
          <w:p w14:paraId="4F39DFAA">
            <w:pPr>
              <w:keepNext w:val="0"/>
              <w:keepLines w:val="0"/>
              <w:widowControl/>
              <w:suppressLineNumbers w:val="0"/>
              <w:jc w:val="center"/>
              <w:textAlignment w:val="top"/>
              <w:rPr>
                <w:rFonts w:hint="default" w:ascii="Times New Roman" w:hAnsi="Times New Roman" w:eastAsia="仿宋_GB2312" w:cs="Times New Roman"/>
                <w:snapToGrid w:val="0"/>
                <w:color w:val="auto"/>
                <w:kern w:val="0"/>
                <w:sz w:val="21"/>
                <w:szCs w:val="21"/>
                <w:highlight w:val="yellow"/>
                <w:lang w:val="en-US" w:eastAsia="zh-CN"/>
              </w:rPr>
            </w:pPr>
            <w:r>
              <w:rPr>
                <w:rFonts w:hint="default" w:ascii="Times New Roman" w:hAnsi="Times New Roman" w:eastAsia="仿宋_GB2312" w:cs="Times New Roman"/>
                <w:b/>
                <w:bCs/>
                <w:i w:val="0"/>
                <w:iCs w:val="0"/>
                <w:snapToGrid w:val="0"/>
                <w:color w:val="auto"/>
                <w:kern w:val="0"/>
                <w:sz w:val="21"/>
                <w:szCs w:val="21"/>
                <w:u w:val="none"/>
                <w:lang w:val="en-US" w:eastAsia="zh-CN" w:bidi="ar"/>
              </w:rPr>
              <w:t>95.74%</w:t>
            </w:r>
          </w:p>
        </w:tc>
      </w:tr>
    </w:tbl>
    <w:p w14:paraId="77327772">
      <w:pPr>
        <w:keepNext w:val="0"/>
        <w:keepLines w:val="0"/>
        <w:pageBreakBefore w:val="0"/>
        <w:widowControl/>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由表二可知，</w:t>
      </w:r>
      <w:r>
        <w:rPr>
          <w:rFonts w:hint="default" w:ascii="Times New Roman" w:hAnsi="Times New Roman" w:eastAsia="仿宋_GB2312" w:cs="Times New Roman"/>
          <w:color w:val="auto"/>
          <w:sz w:val="32"/>
          <w:szCs w:val="32"/>
          <w:highlight w:val="none"/>
          <w:lang w:eastAsia="zh-CN"/>
        </w:rPr>
        <w:t>技师学院</w:t>
      </w: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年“三公”经费预算数</w:t>
      </w:r>
      <w:r>
        <w:rPr>
          <w:rFonts w:hint="default" w:ascii="Times New Roman" w:hAnsi="Times New Roman" w:eastAsia="仿宋_GB2312" w:cs="Times New Roman"/>
          <w:color w:val="auto"/>
          <w:sz w:val="32"/>
          <w:szCs w:val="32"/>
          <w:highlight w:val="none"/>
          <w:lang w:val="en-US" w:eastAsia="zh-CN"/>
        </w:rPr>
        <w:t>160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00</w:t>
      </w:r>
      <w:r>
        <w:rPr>
          <w:rFonts w:hint="default" w:ascii="Times New Roman" w:hAnsi="Times New Roman" w:eastAsia="仿宋_GB2312" w:cs="Times New Roman"/>
          <w:color w:val="auto"/>
          <w:sz w:val="32"/>
          <w:szCs w:val="32"/>
          <w:highlight w:val="none"/>
        </w:rPr>
        <w:t>万元，决算支出52.</w:t>
      </w:r>
      <w:r>
        <w:rPr>
          <w:rFonts w:hint="default" w:ascii="Times New Roman" w:hAnsi="Times New Roman" w:eastAsia="仿宋_GB2312" w:cs="Times New Roman"/>
          <w:color w:val="auto"/>
          <w:sz w:val="32"/>
          <w:szCs w:val="32"/>
          <w:highlight w:val="none"/>
          <w:lang w:val="en-US" w:eastAsia="zh-CN"/>
        </w:rPr>
        <w:t>79</w:t>
      </w:r>
      <w:r>
        <w:rPr>
          <w:rFonts w:hint="default" w:ascii="Times New Roman" w:hAnsi="Times New Roman" w:eastAsia="仿宋_GB2312" w:cs="Times New Roman"/>
          <w:color w:val="auto"/>
          <w:sz w:val="32"/>
          <w:szCs w:val="32"/>
          <w:highlight w:val="none"/>
        </w:rPr>
        <w:t>万元，完成预算的</w:t>
      </w:r>
      <w:r>
        <w:rPr>
          <w:rFonts w:hint="default" w:ascii="Times New Roman" w:hAnsi="Times New Roman" w:eastAsia="仿宋_GB2312" w:cs="Times New Roman"/>
          <w:color w:val="auto"/>
          <w:sz w:val="32"/>
          <w:szCs w:val="32"/>
          <w:highlight w:val="none"/>
          <w:lang w:val="en-US" w:eastAsia="zh-CN"/>
        </w:rPr>
        <w:t>32.99</w:t>
      </w:r>
      <w:r>
        <w:rPr>
          <w:rFonts w:hint="default" w:ascii="Times New Roman" w:hAnsi="Times New Roman" w:eastAsia="仿宋_GB2312" w:cs="Times New Roman"/>
          <w:color w:val="auto"/>
          <w:sz w:val="32"/>
          <w:szCs w:val="32"/>
          <w:highlight w:val="none"/>
        </w:rPr>
        <w:t>%。预决算差异较大的原因是认真贯彻落实厉行节约各项要求，进一步从严控制“三公”经费支出。</w:t>
      </w:r>
    </w:p>
    <w:p w14:paraId="343DF685">
      <w:pPr>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年决算支出较上年度决算</w:t>
      </w:r>
      <w:r>
        <w:rPr>
          <w:rFonts w:hint="default" w:ascii="Times New Roman" w:hAnsi="Times New Roman" w:eastAsia="仿宋_GB2312" w:cs="Times New Roman"/>
          <w:color w:val="auto"/>
          <w:sz w:val="32"/>
          <w:szCs w:val="32"/>
          <w:highlight w:val="none"/>
          <w:lang w:val="en-US" w:eastAsia="zh-CN"/>
        </w:rPr>
        <w:t>增加25.82</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val="en-US" w:eastAsia="zh-CN"/>
        </w:rPr>
        <w:t>增长95.74%</w:t>
      </w:r>
      <w:r>
        <w:rPr>
          <w:rFonts w:hint="default" w:ascii="Times New Roman" w:hAnsi="Times New Roman" w:eastAsia="仿宋_GB2312" w:cs="Times New Roman"/>
          <w:color w:val="auto"/>
          <w:sz w:val="32"/>
          <w:szCs w:val="32"/>
          <w:highlight w:val="none"/>
        </w:rPr>
        <w:t>。其中：公务用车购置费</w:t>
      </w:r>
      <w:r>
        <w:rPr>
          <w:rFonts w:hint="default" w:ascii="Times New Roman" w:hAnsi="Times New Roman" w:eastAsia="仿宋_GB2312" w:cs="Times New Roman"/>
          <w:color w:val="auto"/>
          <w:sz w:val="32"/>
          <w:szCs w:val="32"/>
          <w:highlight w:val="none"/>
          <w:lang w:val="en-US" w:eastAsia="zh-CN"/>
        </w:rPr>
        <w:t>增加19.12万元，</w:t>
      </w:r>
      <w:r>
        <w:rPr>
          <w:rFonts w:hint="default" w:ascii="Times New Roman" w:hAnsi="Times New Roman" w:eastAsia="仿宋_GB2312" w:cs="Times New Roman"/>
          <w:color w:val="auto"/>
          <w:sz w:val="32"/>
          <w:szCs w:val="32"/>
          <w:highlight w:val="none"/>
        </w:rPr>
        <w:t>公务用车运行维护费</w:t>
      </w:r>
      <w:r>
        <w:rPr>
          <w:rFonts w:hint="default" w:ascii="Times New Roman" w:hAnsi="Times New Roman" w:eastAsia="仿宋_GB2312" w:cs="Times New Roman"/>
          <w:color w:val="auto"/>
          <w:sz w:val="32"/>
          <w:szCs w:val="32"/>
          <w:highlight w:val="none"/>
          <w:lang w:val="en-US" w:eastAsia="zh-CN"/>
        </w:rPr>
        <w:t>增加11.30</w:t>
      </w:r>
      <w:r>
        <w:rPr>
          <w:rFonts w:hint="default" w:ascii="Times New Roman" w:hAnsi="Times New Roman" w:eastAsia="仿宋_GB2312" w:cs="Times New Roman"/>
          <w:color w:val="auto"/>
          <w:sz w:val="32"/>
          <w:szCs w:val="32"/>
          <w:highlight w:val="none"/>
        </w:rPr>
        <w:t>万元、公务接待费减少</w:t>
      </w:r>
      <w:r>
        <w:rPr>
          <w:rFonts w:hint="default" w:ascii="Times New Roman" w:hAnsi="Times New Roman" w:eastAsia="仿宋_GB2312" w:cs="Times New Roman"/>
          <w:color w:val="auto"/>
          <w:sz w:val="32"/>
          <w:szCs w:val="32"/>
          <w:highlight w:val="none"/>
          <w:lang w:val="en-US" w:eastAsia="zh-CN"/>
        </w:rPr>
        <w:t>4.60</w:t>
      </w:r>
      <w:r>
        <w:rPr>
          <w:rFonts w:hint="default" w:ascii="Times New Roman" w:hAnsi="Times New Roman" w:eastAsia="仿宋_GB2312" w:cs="Times New Roman"/>
          <w:color w:val="auto"/>
          <w:sz w:val="32"/>
          <w:szCs w:val="32"/>
          <w:highlight w:val="none"/>
        </w:rPr>
        <w:t>万元、因公出国（境）减少0万元。“三公”经费支出</w:t>
      </w:r>
      <w:r>
        <w:rPr>
          <w:rFonts w:hint="default" w:ascii="Times New Roman" w:hAnsi="Times New Roman" w:eastAsia="仿宋_GB2312" w:cs="Times New Roman"/>
          <w:color w:val="auto"/>
          <w:sz w:val="32"/>
          <w:szCs w:val="32"/>
          <w:highlight w:val="none"/>
          <w:lang w:val="en-US" w:eastAsia="zh-CN"/>
        </w:rPr>
        <w:t>增加</w:t>
      </w:r>
      <w:r>
        <w:rPr>
          <w:rFonts w:hint="default" w:ascii="Times New Roman" w:hAnsi="Times New Roman" w:eastAsia="仿宋_GB2312" w:cs="Times New Roman"/>
          <w:color w:val="auto"/>
          <w:sz w:val="32"/>
          <w:szCs w:val="32"/>
          <w:highlight w:val="none"/>
        </w:rPr>
        <w:t>的主要原因是</w:t>
      </w:r>
      <w:r>
        <w:rPr>
          <w:rFonts w:hint="default" w:ascii="Times New Roman" w:hAnsi="Times New Roman" w:eastAsia="仿宋_GB2312" w:cs="Times New Roman"/>
          <w:color w:val="auto"/>
          <w:sz w:val="32"/>
          <w:szCs w:val="32"/>
          <w:highlight w:val="none"/>
          <w:lang w:val="en-US" w:eastAsia="zh-CN"/>
        </w:rPr>
        <w:t>当年新购置了一辆价格为19.12万元的公务用车。</w:t>
      </w:r>
    </w:p>
    <w:p w14:paraId="7C1EE09A">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3" w:firstLineChars="200"/>
        <w:jc w:val="both"/>
        <w:textAlignment w:val="baseline"/>
        <w:rPr>
          <w:rFonts w:hint="default" w:ascii="Times New Roman" w:hAnsi="Times New Roman" w:eastAsia="楷体_GB2312" w:cs="Times New Roman"/>
          <w:b/>
          <w:bCs/>
          <w:snapToGrid w:val="0"/>
          <w:color w:val="auto"/>
          <w:kern w:val="0"/>
          <w:sz w:val="32"/>
          <w:szCs w:val="32"/>
          <w:highlight w:val="none"/>
          <w:lang w:val="en-US" w:eastAsia="zh-CN"/>
        </w:rPr>
      </w:pPr>
      <w:r>
        <w:rPr>
          <w:rFonts w:hint="default" w:ascii="Times New Roman" w:hAnsi="Times New Roman" w:eastAsia="楷体_GB2312" w:cs="Times New Roman"/>
          <w:b/>
          <w:bCs/>
          <w:snapToGrid w:val="0"/>
          <w:color w:val="auto"/>
          <w:kern w:val="0"/>
          <w:sz w:val="32"/>
          <w:szCs w:val="32"/>
          <w:highlight w:val="none"/>
          <w:lang w:val="en-US" w:eastAsia="zh-CN"/>
        </w:rPr>
        <w:t>（三）项目支出</w:t>
      </w:r>
    </w:p>
    <w:p w14:paraId="031C054B">
      <w:pPr>
        <w:keepNext w:val="0"/>
        <w:keepLines w:val="0"/>
        <w:pageBreakBefore w:val="0"/>
        <w:widowControl/>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项目支出指单位为完成特定行政工作任务或事业发展目标发生的支出，包括</w:t>
      </w:r>
      <w:r>
        <w:rPr>
          <w:rFonts w:hint="default" w:ascii="Times New Roman" w:hAnsi="Times New Roman" w:eastAsia="仿宋_GB2312" w:cs="Times New Roman"/>
          <w:color w:val="auto"/>
          <w:sz w:val="32"/>
          <w:szCs w:val="32"/>
          <w:highlight w:val="none"/>
          <w:lang w:val="en-US" w:eastAsia="zh-CN"/>
        </w:rPr>
        <w:t>教学实训和学生管理经费</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0"/>
          <w:sz w:val="32"/>
          <w:szCs w:val="32"/>
          <w:highlight w:val="none"/>
          <w:lang w:val="en-US" w:eastAsia="zh-CN" w:bidi="hi-IN"/>
        </w:rPr>
        <w:t>学院建设和发展支出、债务利息支出</w:t>
      </w:r>
      <w:r>
        <w:rPr>
          <w:rFonts w:hint="default" w:ascii="Times New Roman" w:hAnsi="Times New Roman" w:eastAsia="仿宋_GB2312" w:cs="Times New Roman"/>
          <w:color w:val="auto"/>
          <w:sz w:val="32"/>
          <w:szCs w:val="32"/>
          <w:highlight w:val="none"/>
        </w:rPr>
        <w:t>。</w:t>
      </w:r>
    </w:p>
    <w:p w14:paraId="0445906B">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项目资金安排落实及总投入情况分析</w:t>
      </w:r>
    </w:p>
    <w:p w14:paraId="0598189B">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年年初预算安排项目经费10,322.15万元，</w:t>
      </w:r>
      <w:r>
        <w:rPr>
          <w:rFonts w:hint="default" w:ascii="Times New Roman" w:hAnsi="Times New Roman" w:eastAsia="仿宋_GB2312" w:cs="Times New Roman"/>
          <w:color w:val="auto"/>
          <w:sz w:val="32"/>
          <w:szCs w:val="32"/>
          <w:highlight w:val="none"/>
          <w:lang w:val="en-US" w:eastAsia="zh-CN"/>
        </w:rPr>
        <w:t>全年预算</w:t>
      </w:r>
      <w:r>
        <w:rPr>
          <w:rFonts w:hint="default" w:ascii="Times New Roman" w:hAnsi="Times New Roman" w:eastAsia="仿宋_GB2312" w:cs="Times New Roman"/>
          <w:color w:val="auto"/>
          <w:sz w:val="32"/>
          <w:szCs w:val="32"/>
          <w:highlight w:val="none"/>
        </w:rPr>
        <w:t>10,924.98万元；项目资金安排全部落实到位。</w:t>
      </w:r>
    </w:p>
    <w:p w14:paraId="321D1E7A">
      <w:pPr>
        <w:keepNext w:val="0"/>
        <w:keepLines w:val="0"/>
        <w:pageBreakBefore w:val="0"/>
        <w:widowControl/>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2.项目资金实际使用情况分析</w:t>
      </w:r>
    </w:p>
    <w:p w14:paraId="5E8C20E6">
      <w:pPr>
        <w:keepNext w:val="0"/>
        <w:keepLines w:val="0"/>
        <w:pageBreakBefore w:val="0"/>
        <w:widowControl/>
        <w:kinsoku w:val="0"/>
        <w:wordWrap/>
        <w:overflowPunct/>
        <w:topLinePunct w:val="0"/>
        <w:autoSpaceDE w:val="0"/>
        <w:autoSpaceDN w:val="0"/>
        <w:bidi w:val="0"/>
        <w:adjustRightInd/>
        <w:snapToGrid/>
        <w:spacing w:line="580" w:lineRule="exact"/>
        <w:ind w:firstLine="640" w:firstLineChars="200"/>
        <w:jc w:val="both"/>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本年度实际发生项目支出3,480.68万元，详见表三。</w:t>
      </w:r>
    </w:p>
    <w:p w14:paraId="64128C32">
      <w:pPr>
        <w:keepNext w:val="0"/>
        <w:keepLines w:val="0"/>
        <w:pageBreakBefore w:val="0"/>
        <w:widowControl/>
        <w:kinsoku w:val="0"/>
        <w:wordWrap/>
        <w:overflowPunct/>
        <w:topLinePunct w:val="0"/>
        <w:autoSpaceDE w:val="0"/>
        <w:autoSpaceDN w:val="0"/>
        <w:bidi w:val="0"/>
        <w:adjustRightInd/>
        <w:snapToGrid/>
        <w:spacing w:line="580" w:lineRule="exact"/>
        <w:jc w:val="center"/>
        <w:textAlignment w:val="baseline"/>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表三：项目支出情况表（单位：万元）</w:t>
      </w:r>
    </w:p>
    <w:tbl>
      <w:tblPr>
        <w:tblStyle w:val="9"/>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12"/>
        <w:gridCol w:w="1892"/>
        <w:gridCol w:w="1041"/>
        <w:gridCol w:w="1095"/>
        <w:gridCol w:w="1176"/>
        <w:gridCol w:w="1057"/>
        <w:gridCol w:w="1016"/>
        <w:gridCol w:w="1179"/>
      </w:tblGrid>
      <w:tr w14:paraId="692D7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D1A75">
            <w:pPr>
              <w:keepNext w:val="0"/>
              <w:keepLines w:val="0"/>
              <w:pageBreakBefore w:val="0"/>
              <w:widowControl/>
              <w:suppressLineNumbers w:val="0"/>
              <w:kinsoku w:val="0"/>
              <w:wordWrap/>
              <w:overflowPunct/>
              <w:topLinePunct w:val="0"/>
              <w:autoSpaceDE w:val="0"/>
              <w:autoSpaceDN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snapToGrid w:val="0"/>
                <w:color w:val="auto"/>
                <w:kern w:val="0"/>
                <w:sz w:val="21"/>
                <w:szCs w:val="21"/>
                <w:highlight w:val="none"/>
                <w:u w:val="none"/>
                <w:lang w:val="en-US" w:eastAsia="zh-CN" w:bidi="ar"/>
              </w:rPr>
              <w:t>序号</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E3715">
            <w:pPr>
              <w:keepNext w:val="0"/>
              <w:keepLines w:val="0"/>
              <w:pageBreakBefore w:val="0"/>
              <w:widowControl/>
              <w:suppressLineNumbers w:val="0"/>
              <w:kinsoku w:val="0"/>
              <w:wordWrap/>
              <w:overflowPunct/>
              <w:topLinePunct w:val="0"/>
              <w:autoSpaceDE w:val="0"/>
              <w:autoSpaceDN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snapToGrid w:val="0"/>
                <w:color w:val="auto"/>
                <w:kern w:val="0"/>
                <w:sz w:val="21"/>
                <w:szCs w:val="21"/>
                <w:highlight w:val="none"/>
                <w:u w:val="none"/>
                <w:lang w:val="en-US" w:eastAsia="zh-CN" w:bidi="ar"/>
              </w:rPr>
              <w:t>名称</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4EA8F">
            <w:pPr>
              <w:keepNext w:val="0"/>
              <w:keepLines w:val="0"/>
              <w:pageBreakBefore w:val="0"/>
              <w:widowControl/>
              <w:suppressLineNumbers w:val="0"/>
              <w:kinsoku w:val="0"/>
              <w:wordWrap/>
              <w:overflowPunct/>
              <w:topLinePunct w:val="0"/>
              <w:autoSpaceDE w:val="0"/>
              <w:autoSpaceDN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snapToGrid w:val="0"/>
                <w:color w:val="auto"/>
                <w:kern w:val="0"/>
                <w:sz w:val="21"/>
                <w:szCs w:val="21"/>
                <w:highlight w:val="none"/>
                <w:u w:val="none"/>
                <w:lang w:val="en-US" w:eastAsia="zh-CN" w:bidi="ar"/>
              </w:rPr>
              <w:t>年初预算</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732B1">
            <w:pPr>
              <w:keepNext w:val="0"/>
              <w:keepLines w:val="0"/>
              <w:pageBreakBefore w:val="0"/>
              <w:widowControl/>
              <w:suppressLineNumbers w:val="0"/>
              <w:kinsoku w:val="0"/>
              <w:wordWrap/>
              <w:overflowPunct/>
              <w:topLinePunct w:val="0"/>
              <w:autoSpaceDE w:val="0"/>
              <w:autoSpaceDN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snapToGrid w:val="0"/>
                <w:color w:val="auto"/>
                <w:kern w:val="0"/>
                <w:sz w:val="21"/>
                <w:szCs w:val="21"/>
                <w:highlight w:val="none"/>
                <w:u w:val="none"/>
                <w:lang w:val="en-US" w:eastAsia="zh-CN" w:bidi="ar"/>
              </w:rPr>
              <w:t>年中调增</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D927B">
            <w:pPr>
              <w:keepNext w:val="0"/>
              <w:keepLines w:val="0"/>
              <w:pageBreakBefore w:val="0"/>
              <w:widowControl/>
              <w:suppressLineNumbers w:val="0"/>
              <w:kinsoku w:val="0"/>
              <w:wordWrap/>
              <w:overflowPunct/>
              <w:topLinePunct w:val="0"/>
              <w:autoSpaceDE w:val="0"/>
              <w:autoSpaceDN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snapToGrid w:val="0"/>
                <w:color w:val="auto"/>
                <w:kern w:val="0"/>
                <w:sz w:val="21"/>
                <w:szCs w:val="21"/>
                <w:highlight w:val="none"/>
                <w:u w:val="none"/>
                <w:lang w:val="en-US" w:eastAsia="zh-CN" w:bidi="ar"/>
              </w:rPr>
              <w:t>全年预算</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D5B9D">
            <w:pPr>
              <w:keepNext w:val="0"/>
              <w:keepLines w:val="0"/>
              <w:pageBreakBefore w:val="0"/>
              <w:widowControl/>
              <w:suppressLineNumbers w:val="0"/>
              <w:kinsoku w:val="0"/>
              <w:wordWrap/>
              <w:overflowPunct/>
              <w:topLinePunct w:val="0"/>
              <w:autoSpaceDE w:val="0"/>
              <w:autoSpaceDN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snapToGrid w:val="0"/>
                <w:color w:val="auto"/>
                <w:kern w:val="0"/>
                <w:sz w:val="21"/>
                <w:szCs w:val="21"/>
                <w:highlight w:val="none"/>
                <w:u w:val="none"/>
                <w:lang w:val="en-US" w:eastAsia="zh-CN" w:bidi="ar"/>
              </w:rPr>
              <w:t>本年支出</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7EC3C">
            <w:pPr>
              <w:keepNext w:val="0"/>
              <w:keepLines w:val="0"/>
              <w:pageBreakBefore w:val="0"/>
              <w:widowControl/>
              <w:suppressLineNumbers w:val="0"/>
              <w:kinsoku w:val="0"/>
              <w:wordWrap/>
              <w:overflowPunct/>
              <w:topLinePunct w:val="0"/>
              <w:autoSpaceDE w:val="0"/>
              <w:autoSpaceDN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snapToGrid w:val="0"/>
                <w:color w:val="auto"/>
                <w:kern w:val="0"/>
                <w:sz w:val="21"/>
                <w:szCs w:val="21"/>
                <w:highlight w:val="none"/>
                <w:u w:val="none"/>
                <w:lang w:val="en-US" w:eastAsia="zh-CN" w:bidi="ar"/>
              </w:rPr>
              <w:t>本期结余</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81B03">
            <w:pPr>
              <w:keepNext w:val="0"/>
              <w:keepLines w:val="0"/>
              <w:pageBreakBefore w:val="0"/>
              <w:widowControl/>
              <w:suppressLineNumbers w:val="0"/>
              <w:kinsoku w:val="0"/>
              <w:wordWrap/>
              <w:overflowPunct/>
              <w:topLinePunct w:val="0"/>
              <w:autoSpaceDE w:val="0"/>
              <w:autoSpaceDN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snapToGrid w:val="0"/>
                <w:color w:val="auto"/>
                <w:kern w:val="0"/>
                <w:sz w:val="21"/>
                <w:szCs w:val="21"/>
                <w:highlight w:val="none"/>
                <w:u w:val="none"/>
                <w:lang w:val="en-US" w:eastAsia="zh-CN" w:bidi="ar"/>
              </w:rPr>
              <w:t>预算执行率</w:t>
            </w:r>
          </w:p>
        </w:tc>
      </w:tr>
      <w:tr w14:paraId="720B8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6C743">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1</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7656F">
            <w:pPr>
              <w:keepNext w:val="0"/>
              <w:keepLines w:val="0"/>
              <w:pageBreakBefore w:val="0"/>
              <w:widowControl/>
              <w:suppressLineNumbers w:val="0"/>
              <w:wordWrap/>
              <w:overflowPunct/>
              <w:topLinePunct w:val="0"/>
              <w:bidi w:val="0"/>
              <w:ind w:left="-63" w:leftChars="-30" w:right="-63" w:rightChars="-30"/>
              <w:jc w:val="left"/>
              <w:textAlignment w:val="center"/>
              <w:rPr>
                <w:rFonts w:hint="default" w:ascii="Times New Roman" w:hAnsi="Times New Roman" w:eastAsia="仿宋_GB2312" w:cs="Times New Roman"/>
                <w:i w:val="0"/>
                <w:iCs w:val="0"/>
                <w:color w:val="auto"/>
                <w:sz w:val="21"/>
                <w:szCs w:val="21"/>
                <w:highlight w:val="none"/>
                <w:u w:val="none"/>
                <w:lang w:val="en-US"/>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教学实训和学生管理经费</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D1DBA">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4,022.15</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BE5AA">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0.00</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83655">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4,022.15</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7B39F">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lang w:val="en-US" w:eastAsia="zh-CN"/>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A700D">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1A24E">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45045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93443">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2</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01113">
            <w:pPr>
              <w:keepNext w:val="0"/>
              <w:keepLines w:val="0"/>
              <w:pageBreakBefore w:val="0"/>
              <w:widowControl/>
              <w:suppressLineNumbers w:val="0"/>
              <w:wordWrap/>
              <w:overflowPunct/>
              <w:topLinePunct w:val="0"/>
              <w:bidi w:val="0"/>
              <w:ind w:left="-63" w:leftChars="-30" w:right="-63" w:rightChars="-3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学院建设和发展支出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9AA1A">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4,400.00</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47677">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0.00</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5BC06">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4,400.00</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C5C5A">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14E94">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47C97">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08C9A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6943D">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3</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E664B">
            <w:pPr>
              <w:keepNext w:val="0"/>
              <w:keepLines w:val="0"/>
              <w:pageBreakBefore w:val="0"/>
              <w:widowControl/>
              <w:suppressLineNumbers w:val="0"/>
              <w:wordWrap/>
              <w:overflowPunct/>
              <w:topLinePunct w:val="0"/>
              <w:bidi w:val="0"/>
              <w:ind w:left="-63" w:leftChars="-30" w:right="-63" w:rightChars="-3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债务利息支出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C7CEB">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1,900.00</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96275">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lang w:val="en-US"/>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0.00</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EE38B">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1,900.00</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0C381">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FE1BE">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01CC8">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5E5BE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88838">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4</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AF11B">
            <w:pPr>
              <w:keepNext w:val="0"/>
              <w:keepLines w:val="0"/>
              <w:pageBreakBefore w:val="0"/>
              <w:widowControl/>
              <w:suppressLineNumbers w:val="0"/>
              <w:wordWrap/>
              <w:overflowPunct/>
              <w:topLinePunct w:val="0"/>
              <w:bidi w:val="0"/>
              <w:ind w:left="-63" w:leftChars="-30" w:right="-63" w:rightChars="-3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就业专项资金</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922FA">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7E5F0">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lang w:val="en-US" w:eastAsia="zh-CN"/>
              </w:rPr>
            </w:pPr>
            <w:r>
              <w:rPr>
                <w:rFonts w:hint="default" w:ascii="Times New Roman" w:hAnsi="Times New Roman" w:eastAsia="仿宋_GB2312" w:cs="Times New Roman"/>
                <w:i w:val="0"/>
                <w:iCs w:val="0"/>
                <w:color w:val="auto"/>
                <w:sz w:val="21"/>
                <w:szCs w:val="21"/>
                <w:highlight w:val="none"/>
                <w:u w:val="none"/>
                <w:lang w:val="en-US" w:eastAsia="zh-CN"/>
              </w:rPr>
              <w:t>155.00</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705D8">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155.00</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5F03A">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42CF3">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B2158">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0DDD3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672A4">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5</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BDF7B">
            <w:pPr>
              <w:keepNext w:val="0"/>
              <w:keepLines w:val="0"/>
              <w:pageBreakBefore w:val="0"/>
              <w:widowControl/>
              <w:suppressLineNumbers w:val="0"/>
              <w:wordWrap/>
              <w:overflowPunct/>
              <w:topLinePunct w:val="0"/>
              <w:bidi w:val="0"/>
              <w:ind w:left="-63" w:leftChars="-30" w:right="-63" w:rightChars="-3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兵员预征预储试点工作经费</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A129E">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6D0A5">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50.00</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FFB05">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50.00</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29A98">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D49A8">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2CCCE">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47D03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F38BA">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6</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1E716">
            <w:pPr>
              <w:keepNext w:val="0"/>
              <w:keepLines w:val="0"/>
              <w:pageBreakBefore w:val="0"/>
              <w:widowControl/>
              <w:suppressLineNumbers w:val="0"/>
              <w:wordWrap/>
              <w:overflowPunct/>
              <w:topLinePunct w:val="0"/>
              <w:bidi w:val="0"/>
              <w:ind w:left="-63" w:leftChars="-30" w:right="-63" w:rightChars="-30"/>
              <w:jc w:val="left"/>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2022年第三批制造强省专项资金</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A77B0">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AE1F1">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70.00</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E28F4">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70.00</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E2E40">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07673">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B43FF">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5F96D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C0A33">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7</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3F140">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2022年市县中职学校改善办学条件中央资金</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6FF40">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2EE00">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fldChar w:fldCharType="begin"/>
            </w: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instrText xml:space="preserve"> LINK Excel.Sheet.12 "C:\\Users\\win11\\Desktop\\衡阳技师学院绩效评价补充资料\\（技师学院总表）公共实训基地—工商2022.xlsx" "国库支付系统单位指标执行情况表!R15C50" \t \a  \* MERGEFORMAT</w:instrText>
            </w: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fldChar w:fldCharType="separate"/>
            </w: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311.00</w:t>
            </w: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fldChar w:fldCharType="end"/>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490FA">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fldChar w:fldCharType="begin"/>
            </w: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instrText xml:space="preserve"> LINK Excel.Sheet.12 "C:\\Users\\win11\\Desktop\\衡阳技师学院绩效评价补充资料\\（技师学院总表）公共实训基地—工商2022.xlsx" "国库支付系统单位指标执行情况表!R15C50" \t \a  \* MERGEFORMAT</w:instrText>
            </w: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fldChar w:fldCharType="separate"/>
            </w: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311.00</w:t>
            </w: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fldChar w:fldCharType="end"/>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3C88F">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70F9D">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AEE8D">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4C5CA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A1FF6">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8</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EECD7">
            <w:pPr>
              <w:keepNext w:val="0"/>
              <w:keepLines w:val="0"/>
              <w:pageBreakBefore w:val="0"/>
              <w:widowControl/>
              <w:suppressLineNumbers w:val="0"/>
              <w:wordWrap/>
              <w:overflowPunct/>
              <w:topLinePunct w:val="0"/>
              <w:bidi w:val="0"/>
              <w:ind w:left="-63" w:leftChars="-30" w:right="-63" w:rightChars="-30"/>
              <w:jc w:val="left"/>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其他</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F39B3">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D3703">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16.83</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270DD">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16.83</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0C5E9">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BCE01">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1E750">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4444C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73E65">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9</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058E9">
            <w:pPr>
              <w:keepNext w:val="0"/>
              <w:keepLines w:val="0"/>
              <w:widowControl/>
              <w:suppressLineNumbers w:val="0"/>
              <w:jc w:val="left"/>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公共实训基地配套设施</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736B8">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F1409">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30BEB">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3A885">
            <w:pPr>
              <w:keepNext w:val="0"/>
              <w:keepLines w:val="0"/>
              <w:pageBreakBefore w:val="0"/>
              <w:widowControl/>
              <w:suppressLineNumbers w:val="0"/>
              <w:kinsoku w:val="0"/>
              <w:wordWrap/>
              <w:overflowPunct/>
              <w:topLinePunct w:val="0"/>
              <w:autoSpaceDE w:val="0"/>
              <w:autoSpaceDN w:val="0"/>
              <w:bidi w:val="0"/>
              <w:adjustRightInd w:val="0"/>
              <w:snapToGrid w:val="0"/>
              <w:ind w:left="-105" w:leftChars="-50" w:right="-105" w:rightChars="-50"/>
              <w:jc w:val="center"/>
              <w:textAlignment w:val="center"/>
              <w:rPr>
                <w:rFonts w:hint="default" w:ascii="Times New Roman" w:hAnsi="Times New Roman" w:eastAsia="仿宋_GB2312" w:cs="Times New Roman"/>
                <w:i w:val="0"/>
                <w:iCs w:val="0"/>
                <w:snapToGrid w:val="0"/>
                <w:color w:val="auto"/>
                <w:kern w:val="0"/>
                <w:sz w:val="22"/>
                <w:szCs w:val="22"/>
                <w:u w:val="none"/>
                <w:lang w:val="en-US" w:eastAsia="zh-CN"/>
              </w:rPr>
            </w:pPr>
            <w:r>
              <w:rPr>
                <w:rFonts w:hint="default" w:ascii="Times New Roman" w:hAnsi="Times New Roman" w:eastAsia="仿宋_GB2312" w:cs="Times New Roman"/>
                <w:i w:val="0"/>
                <w:iCs w:val="0"/>
                <w:snapToGrid w:val="0"/>
                <w:color w:val="auto"/>
                <w:kern w:val="0"/>
                <w:sz w:val="22"/>
                <w:szCs w:val="22"/>
                <w:u w:val="none"/>
                <w:lang w:val="en-US" w:eastAsia="zh-CN" w:bidi="ar"/>
              </w:rPr>
              <w:t>1,996.34</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C6F94">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7A0A7">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22632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9B9A5">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10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0FE8F">
            <w:pPr>
              <w:keepNext w:val="0"/>
              <w:keepLines w:val="0"/>
              <w:widowControl/>
              <w:suppressLineNumbers w:val="0"/>
              <w:jc w:val="left"/>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高技能人才项目建设</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8EE47">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98DDF">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24FFE">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7EED1">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2.58</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07040">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DE72F">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0D173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C5712">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11</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D266D">
            <w:pPr>
              <w:keepNext w:val="0"/>
              <w:keepLines w:val="0"/>
              <w:widowControl/>
              <w:suppressLineNumbers w:val="0"/>
              <w:jc w:val="left"/>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高技能数控项目</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EF994">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42F6E">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AD726">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97594">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438.57</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E9BF1">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77118">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505E0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E2B95">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12</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9DFA1">
            <w:pPr>
              <w:keepNext w:val="0"/>
              <w:keepLines w:val="0"/>
              <w:widowControl/>
              <w:suppressLineNumbers w:val="0"/>
              <w:jc w:val="left"/>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公共实训基地光电技术</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4B8FE">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009F0">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DE77E">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72FB5">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596.61</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F083E">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7891D">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3E09B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81E58">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13</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CC051">
            <w:pPr>
              <w:keepNext w:val="0"/>
              <w:keepLines w:val="0"/>
              <w:widowControl/>
              <w:suppressLineNumbers w:val="0"/>
              <w:jc w:val="left"/>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u w:val="none"/>
                <w:lang w:val="en-US" w:eastAsia="zh-CN" w:bidi="ar"/>
              </w:rPr>
              <w:t>利息</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B45E7">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AD7A9D">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AE687">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D79EC">
            <w:pPr>
              <w:keepNext w:val="0"/>
              <w:keepLines w:val="0"/>
              <w:widowControl/>
              <w:suppressLineNumbers w:val="0"/>
              <w:jc w:val="center"/>
              <w:textAlignment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snapToGrid w:val="0"/>
                <w:color w:val="auto"/>
                <w:kern w:val="0"/>
                <w:sz w:val="22"/>
                <w:szCs w:val="22"/>
                <w:highlight w:val="none"/>
                <w:u w:val="none"/>
                <w:lang w:val="en-US" w:eastAsia="zh-CN" w:bidi="ar"/>
              </w:rPr>
              <w:t>446.57</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23C3E6">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B4CB0">
            <w:pPr>
              <w:jc w:val="center"/>
              <w:rPr>
                <w:rFonts w:hint="default" w:ascii="Times New Roman" w:hAnsi="Times New Roman" w:eastAsia="仿宋_GB2312" w:cs="Times New Roman"/>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i w:val="0"/>
                <w:iCs w:val="0"/>
                <w:color w:val="auto"/>
                <w:sz w:val="21"/>
                <w:szCs w:val="21"/>
                <w:highlight w:val="none"/>
                <w:u w:val="none"/>
                <w:lang w:val="en-US" w:eastAsia="zh-CN"/>
              </w:rPr>
              <w:t>--</w:t>
            </w:r>
          </w:p>
        </w:tc>
      </w:tr>
      <w:tr w14:paraId="71D50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AB00D">
            <w:pPr>
              <w:keepNext w:val="0"/>
              <w:keepLines w:val="0"/>
              <w:pageBreakBefore w:val="0"/>
              <w:widowControl/>
              <w:wordWrap/>
              <w:overflowPunct/>
              <w:topLinePunct w:val="0"/>
              <w:bidi w:val="0"/>
              <w:ind w:left="-63" w:leftChars="-30" w:right="-63" w:rightChars="-30"/>
              <w:jc w:val="center"/>
              <w:rPr>
                <w:rFonts w:hint="default" w:ascii="Times New Roman" w:hAnsi="Times New Roman" w:eastAsia="仿宋_GB2312" w:cs="Times New Roman"/>
                <w:b/>
                <w:bCs/>
                <w:i w:val="0"/>
                <w:iCs w:val="0"/>
                <w:color w:val="auto"/>
                <w:sz w:val="32"/>
                <w:szCs w:val="32"/>
                <w:highlight w:val="none"/>
                <w:u w:val="none"/>
              </w:rPr>
            </w:pP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FC0A2">
            <w:pPr>
              <w:keepNext w:val="0"/>
              <w:keepLines w:val="0"/>
              <w:widowControl/>
              <w:suppressLineNumbers w:val="0"/>
              <w:jc w:val="left"/>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snapToGrid w:val="0"/>
                <w:color w:val="auto"/>
                <w:kern w:val="0"/>
                <w:sz w:val="22"/>
                <w:szCs w:val="22"/>
                <w:u w:val="none"/>
                <w:lang w:val="en-US" w:eastAsia="zh-CN" w:bidi="ar"/>
              </w:rPr>
              <w:t>小计</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DA8B8">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t>10322.15</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33704">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t>602.83</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8FBCC">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t>10,924.98</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E9FC6">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t>3,480.68</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2B10B">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t xml:space="preserve">7,444.30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36A74">
            <w:pPr>
              <w:keepNext w:val="0"/>
              <w:keepLines w:val="0"/>
              <w:pageBreakBefore w:val="0"/>
              <w:widowControl/>
              <w:suppressLineNumbers w:val="0"/>
              <w:wordWrap/>
              <w:overflowPunct/>
              <w:topLinePunct w:val="0"/>
              <w:bidi w:val="0"/>
              <w:ind w:left="-63" w:leftChars="-30" w:right="-63" w:rightChars="-30"/>
              <w:jc w:val="center"/>
              <w:textAlignment w:val="cente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pPr>
            <w:r>
              <w:rPr>
                <w:rFonts w:hint="default" w:ascii="Times New Roman" w:hAnsi="Times New Roman" w:eastAsia="仿宋_GB2312" w:cs="Times New Roman"/>
                <w:b/>
                <w:bCs/>
                <w:i w:val="0"/>
                <w:iCs w:val="0"/>
                <w:snapToGrid w:val="0"/>
                <w:color w:val="auto"/>
                <w:kern w:val="0"/>
                <w:sz w:val="22"/>
                <w:szCs w:val="22"/>
                <w:highlight w:val="none"/>
                <w:u w:val="none"/>
                <w:lang w:val="en-US" w:eastAsia="zh-CN" w:bidi="ar"/>
              </w:rPr>
              <w:t>31.86%</w:t>
            </w:r>
          </w:p>
        </w:tc>
      </w:tr>
    </w:tbl>
    <w:p w14:paraId="4A519DE5">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由表三可知，</w:t>
      </w:r>
      <w:r>
        <w:rPr>
          <w:rFonts w:hint="default" w:ascii="Times New Roman" w:hAnsi="Times New Roman" w:eastAsia="仿宋_GB2312" w:cs="Times New Roman"/>
          <w:color w:val="auto"/>
          <w:sz w:val="32"/>
          <w:szCs w:val="32"/>
          <w:highlight w:val="none"/>
          <w:lang w:eastAsia="zh-CN"/>
        </w:rPr>
        <w:t>技师学院</w:t>
      </w: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年项目支出</w:t>
      </w:r>
      <w:r>
        <w:rPr>
          <w:rFonts w:hint="default" w:ascii="Times New Roman" w:hAnsi="Times New Roman" w:eastAsia="仿宋_GB2312" w:cs="Times New Roman"/>
          <w:color w:val="auto"/>
          <w:sz w:val="32"/>
          <w:szCs w:val="32"/>
          <w:highlight w:val="none"/>
          <w:lang w:val="en-US" w:eastAsia="zh-CN"/>
        </w:rPr>
        <w:t>年初预算10,322.15</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val="en-US" w:eastAsia="zh-CN"/>
        </w:rPr>
        <w:t>全年预算10,924.98万元，</w:t>
      </w:r>
      <w:r>
        <w:rPr>
          <w:rFonts w:hint="default" w:ascii="Times New Roman" w:hAnsi="Times New Roman" w:eastAsia="仿宋_GB2312" w:cs="Times New Roman"/>
          <w:color w:val="auto"/>
          <w:sz w:val="32"/>
          <w:szCs w:val="32"/>
          <w:highlight w:val="none"/>
        </w:rPr>
        <w:t>实际支出3,480.68万元，本期结余7</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444.30万元，预算执行</w:t>
      </w:r>
      <w:r>
        <w:rPr>
          <w:rFonts w:hint="default" w:ascii="Times New Roman" w:hAnsi="Times New Roman" w:eastAsia="仿宋_GB2312" w:cs="Times New Roman"/>
          <w:color w:val="auto"/>
          <w:sz w:val="32"/>
          <w:szCs w:val="32"/>
          <w:highlight w:val="none"/>
          <w:lang w:val="en-US" w:eastAsia="zh-CN"/>
        </w:rPr>
        <w:t>率31.86%。</w:t>
      </w:r>
      <w:r>
        <w:rPr>
          <w:rFonts w:hint="default" w:ascii="Times New Roman" w:hAnsi="Times New Roman" w:eastAsia="仿宋_GB2312" w:cs="Times New Roman"/>
          <w:color w:val="auto"/>
          <w:sz w:val="32"/>
          <w:szCs w:val="32"/>
          <w:highlight w:val="none"/>
        </w:rPr>
        <w:t>项目支出预算执行率低的主要原因</w:t>
      </w:r>
      <w:r>
        <w:rPr>
          <w:rFonts w:hint="default" w:ascii="Times New Roman" w:hAnsi="Times New Roman" w:eastAsia="仿宋_GB2312" w:cs="Times New Roman"/>
          <w:color w:val="auto"/>
          <w:sz w:val="32"/>
          <w:szCs w:val="32"/>
          <w:highlight w:val="none"/>
          <w:lang w:val="en-US" w:eastAsia="zh-CN"/>
        </w:rPr>
        <w:t>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一是</w:t>
      </w:r>
      <w:r>
        <w:rPr>
          <w:rFonts w:hint="default" w:ascii="Times New Roman" w:hAnsi="Times New Roman" w:eastAsia="仿宋_GB2312" w:cs="Times New Roman"/>
          <w:color w:val="auto"/>
          <w:sz w:val="32"/>
          <w:szCs w:val="32"/>
          <w:highlight w:val="none"/>
          <w:lang w:val="en-US" w:eastAsia="zh-CN"/>
        </w:rPr>
        <w:t>技师学院项目支出预算不精准、不科学，缺少必要的论证，将开展教学经费支出列入项目支出，实际上该支出属于教学基本支出，非建设项目支出。</w:t>
      </w:r>
      <w:r>
        <w:rPr>
          <w:rFonts w:hint="default" w:ascii="Times New Roman" w:hAnsi="Times New Roman" w:eastAsia="仿宋_GB2312" w:cs="Times New Roman"/>
          <w:b/>
          <w:bCs/>
          <w:color w:val="auto"/>
          <w:sz w:val="32"/>
          <w:szCs w:val="32"/>
          <w:highlight w:val="none"/>
          <w:lang w:val="en-US" w:eastAsia="zh-CN"/>
        </w:rPr>
        <w:t>二是</w:t>
      </w:r>
      <w:r>
        <w:rPr>
          <w:rFonts w:hint="default" w:ascii="Times New Roman" w:hAnsi="Times New Roman" w:eastAsia="仿宋_GB2312" w:cs="Times New Roman"/>
          <w:color w:val="auto"/>
          <w:sz w:val="32"/>
          <w:szCs w:val="32"/>
          <w:highlight w:val="none"/>
          <w:lang w:val="en-US" w:eastAsia="zh-CN"/>
        </w:rPr>
        <w:t>预算与决算因核算口径不一致存在部分脱节，基本支出和项目支出会计科目使用与预算口径不匹配，决算将活动管理活动经费及教学运行经费列支基本支出，导致决算数据与预算数据不匹配，未能有效反应预算执行；</w:t>
      </w:r>
      <w:r>
        <w:rPr>
          <w:rFonts w:hint="default" w:ascii="Times New Roman" w:hAnsi="Times New Roman" w:eastAsia="仿宋_GB2312" w:cs="Times New Roman"/>
          <w:b/>
          <w:bCs/>
          <w:color w:val="auto"/>
          <w:sz w:val="32"/>
          <w:szCs w:val="32"/>
          <w:highlight w:val="none"/>
          <w:lang w:val="en-US" w:eastAsia="zh-CN"/>
        </w:rPr>
        <w:t>三是</w:t>
      </w:r>
      <w:r>
        <w:rPr>
          <w:rFonts w:hint="default" w:ascii="Times New Roman" w:hAnsi="Times New Roman" w:eastAsia="仿宋_GB2312" w:cs="Times New Roman"/>
          <w:color w:val="auto"/>
          <w:sz w:val="32"/>
          <w:szCs w:val="32"/>
          <w:highlight w:val="none"/>
          <w:lang w:val="en-US" w:eastAsia="zh-CN"/>
        </w:rPr>
        <w:t>存在基本支出与项目支出预算指标混用的情况，决算报表反映基本支出超预算指标3,907.06万元。</w:t>
      </w:r>
      <w:r>
        <w:rPr>
          <w:rFonts w:hint="default" w:ascii="Times New Roman" w:hAnsi="Times New Roman" w:eastAsia="仿宋_GB2312" w:cs="Times New Roman"/>
          <w:b/>
          <w:bCs/>
          <w:color w:val="auto"/>
          <w:sz w:val="32"/>
          <w:szCs w:val="32"/>
          <w:highlight w:val="none"/>
          <w:lang w:val="en-US" w:eastAsia="zh-CN"/>
        </w:rPr>
        <w:t>四是</w:t>
      </w:r>
      <w:r>
        <w:rPr>
          <w:rFonts w:hint="default" w:ascii="Times New Roman" w:hAnsi="Times New Roman" w:eastAsia="仿宋_GB2312" w:cs="Times New Roman"/>
          <w:color w:val="auto"/>
          <w:sz w:val="32"/>
          <w:szCs w:val="32"/>
          <w:highlight w:val="none"/>
          <w:lang w:val="en-US" w:eastAsia="zh-CN"/>
        </w:rPr>
        <w:t>技师学院有银行贷款和专项债资金，2022年实际利息支出1,622.67万元，决算中仅反映利息支出446.57万元，少报支出1,176.10万元，决算编报不全面。</w:t>
      </w:r>
    </w:p>
    <w:p w14:paraId="56A17465">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r>
        <w:rPr>
          <w:rFonts w:hint="default" w:ascii="Times New Roman" w:hAnsi="Times New Roman" w:eastAsia="仿宋_GB2312" w:cs="Times New Roman"/>
          <w:color w:val="auto"/>
          <w:sz w:val="32"/>
          <w:szCs w:val="32"/>
          <w:highlight w:val="none"/>
          <w:lang w:val="en-US" w:eastAsia="zh-CN"/>
        </w:rPr>
        <w:t>主要</w:t>
      </w:r>
      <w:r>
        <w:rPr>
          <w:rFonts w:hint="default" w:ascii="Times New Roman" w:hAnsi="Times New Roman" w:eastAsia="仿宋_GB2312" w:cs="Times New Roman"/>
          <w:color w:val="auto"/>
          <w:sz w:val="32"/>
          <w:szCs w:val="32"/>
          <w:highlight w:val="none"/>
        </w:rPr>
        <w:t>项目资金管理情况分析</w:t>
      </w:r>
    </w:p>
    <w:p w14:paraId="55210457">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（1）2022年公共实训基地专项债项目预算5,915.42万元，实际支出3,731.74万元，预算执行率63.08%。主要用于公共实训基地主体工程、设备购置等相关支出；</w:t>
      </w:r>
    </w:p>
    <w:p w14:paraId="2D151190">
      <w:pPr>
        <w:keepNext w:val="0"/>
        <w:keepLines w:val="0"/>
        <w:pageBreakBefore w:val="0"/>
        <w:widowControl w:val="0"/>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（2）2022年高技能人才培训基地配套设施建设专项债项目预算11,600.00万元，实际支出188.64万元，预算执行率1.63%。主要用于项目设计费等前期费用支出；</w:t>
      </w:r>
    </w:p>
    <w:p w14:paraId="35E9F76F">
      <w:pPr>
        <w:keepNext w:val="0"/>
        <w:keepLines w:val="0"/>
        <w:pageBreakBefore w:val="0"/>
        <w:widowControl/>
        <w:numPr>
          <w:ilvl w:val="0"/>
          <w:numId w:val="1"/>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债务利息支出预算1900.00万元，实际支出1,622.67万</w:t>
      </w:r>
    </w:p>
    <w:p w14:paraId="29153AAA">
      <w:pPr>
        <w:keepNext w:val="0"/>
        <w:keepLines w:val="0"/>
        <w:pageBreakBefore w:val="0"/>
        <w:widowControl/>
        <w:numPr>
          <w:ilvl w:val="0"/>
          <w:numId w:val="0"/>
        </w:numPr>
        <w:kinsoku w:val="0"/>
        <w:wordWrap/>
        <w:overflowPunct/>
        <w:topLinePunct w:val="0"/>
        <w:autoSpaceDE w:val="0"/>
        <w:autoSpaceDN w:val="0"/>
        <w:bidi w:val="0"/>
        <w:adjustRightInd/>
        <w:snapToGrid/>
        <w:spacing w:line="580" w:lineRule="exact"/>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元，预算执行率85.40%。主要用于支付银行贷款利息和公共实</w:t>
      </w:r>
    </w:p>
    <w:p w14:paraId="075ECADB">
      <w:pPr>
        <w:keepNext w:val="0"/>
        <w:keepLines w:val="0"/>
        <w:pageBreakBefore w:val="0"/>
        <w:widowControl/>
        <w:numPr>
          <w:ilvl w:val="0"/>
          <w:numId w:val="0"/>
        </w:numPr>
        <w:kinsoku w:val="0"/>
        <w:wordWrap/>
        <w:overflowPunct/>
        <w:topLinePunct w:val="0"/>
        <w:autoSpaceDE w:val="0"/>
        <w:autoSpaceDN w:val="0"/>
        <w:bidi w:val="0"/>
        <w:adjustRightInd/>
        <w:snapToGrid/>
        <w:spacing w:line="580" w:lineRule="exact"/>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训基地专项债项目利息；</w:t>
      </w:r>
    </w:p>
    <w:p w14:paraId="28C9FAD4">
      <w:pPr>
        <w:keepNext w:val="0"/>
        <w:keepLines w:val="0"/>
        <w:pageBreakBefore w:val="0"/>
        <w:widowControl/>
        <w:numPr>
          <w:ilvl w:val="0"/>
          <w:numId w:val="1"/>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数控机床装配与维修专业高技能人才培训基础能力建设项目投资预算600万元，其中，财政专项资金150万元。项目实际支出577.42万元，预算执行率96.24%。主要用于数控机床装配与维修综合技能实训；</w:t>
      </w:r>
    </w:p>
    <w:p w14:paraId="232EF291">
      <w:pPr>
        <w:keepNext w:val="0"/>
        <w:keepLines w:val="0"/>
        <w:pageBreakBefore w:val="0"/>
        <w:widowControl/>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snapToGrid w:val="0"/>
          <w:color w:val="auto"/>
          <w:kern w:val="0"/>
          <w:sz w:val="32"/>
          <w:szCs w:val="32"/>
          <w:highlight w:val="none"/>
          <w:lang w:val="en-US" w:eastAsia="zh-CN"/>
        </w:rPr>
        <w:t>（5）计算机辅助设计与制造专业高技能人才培训基础能力建设项目投资总预算为350万元，</w:t>
      </w:r>
      <w:r>
        <w:rPr>
          <w:rFonts w:hint="default" w:ascii="Times New Roman" w:hAnsi="Times New Roman" w:eastAsia="仿宋_GB2312" w:cs="Times New Roman"/>
          <w:color w:val="auto"/>
          <w:sz w:val="32"/>
          <w:szCs w:val="32"/>
          <w:highlight w:val="none"/>
          <w:lang w:val="en-US" w:eastAsia="zh-CN"/>
        </w:rPr>
        <w:t xml:space="preserve">其中，财政专项资金300万元。项目实际支出438.68万元，预算执行率125.34%。主要用于计算机辅助设计与制造专业高技能实训；  </w:t>
      </w:r>
    </w:p>
    <w:p w14:paraId="00E6404D">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（6）汽车钣金与涂装专业高技能人才培训基础能力建设项目</w:t>
      </w:r>
      <w:r>
        <w:rPr>
          <w:rFonts w:hint="default" w:ascii="Times New Roman" w:hAnsi="Times New Roman" w:eastAsia="仿宋_GB2312" w:cs="Times New Roman"/>
          <w:snapToGrid w:val="0"/>
          <w:color w:val="auto"/>
          <w:kern w:val="0"/>
          <w:sz w:val="32"/>
          <w:szCs w:val="32"/>
          <w:highlight w:val="none"/>
          <w:lang w:val="en-US" w:eastAsia="zh-CN"/>
        </w:rPr>
        <w:t>投资总预</w:t>
      </w:r>
      <w:r>
        <w:rPr>
          <w:rFonts w:hint="default" w:ascii="Times New Roman" w:hAnsi="Times New Roman" w:eastAsia="仿宋_GB2312" w:cs="Times New Roman"/>
          <w:color w:val="auto"/>
          <w:sz w:val="32"/>
          <w:szCs w:val="32"/>
          <w:highlight w:val="none"/>
          <w:lang w:val="en-US" w:eastAsia="zh-CN"/>
        </w:rPr>
        <w:t xml:space="preserve">算为350万元，其中，财政专项资金300万元。项目实际支出351.71万元，预算执行率100.49%。主要用于汽车钣金与涂装专业高技能实训；  </w:t>
      </w:r>
    </w:p>
    <w:p w14:paraId="6B33C385">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7）衡阳市2022年度3D打印技术应用专业高技能人才培训基础能力建设项目投资总预算为450万元，其中，财政专项资金300万元，已到位财政资金150万元。项目实际支出21.77万元，预算执行率4.84%。主要用于3D打印技术应用专业高技能实训前期费用。</w:t>
      </w:r>
    </w:p>
    <w:p w14:paraId="67B28A32">
      <w:pPr>
        <w:keepNext w:val="0"/>
        <w:keepLines w:val="0"/>
        <w:pageBreakBefore w:val="0"/>
        <w:widowControl/>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三、2022年部门整体全口径收支情况</w:t>
      </w:r>
    </w:p>
    <w:p w14:paraId="52FE51AE">
      <w:pPr>
        <w:keepNext w:val="0"/>
        <w:keepLines w:val="0"/>
        <w:pageBreakBefore w:val="0"/>
        <w:widowControl w:val="0"/>
        <w:kinsoku/>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2022年部门整体收入38,196.94万元。其中：2022年初资金结转结余7,033.80万元（含专项债资金和其他货币资金），一般公共预算收入19,550.14万元，高技能人才培训基地配套设施建设专项债项目收入11,600.00万元，专项债利息收入13.00万元。</w:t>
      </w:r>
    </w:p>
    <w:p w14:paraId="2AA43E1B">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2022年部门整体支出24,292.18万元。其中：2022年一般公共预算支出19,550.14万元，包括人员经费、日常公用经费及建设支出17,479.04万元，偿还银行贷款利息和专项债利息支出1622.67万元，偿还（减少）银行贷款本金448.43万元；2022年专项债资金支出3920.38万元，专项债手续费支出0.09万元；2022年偿还（减少）银行贷款本金821.57万元。</w:t>
      </w:r>
    </w:p>
    <w:p w14:paraId="5BB6A8F5">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2022年末资金结转结余13,904.76万元（含专项债资金和其他货币资金）。</w:t>
      </w:r>
    </w:p>
    <w:p w14:paraId="32DB60ED">
      <w:pPr>
        <w:keepNext w:val="0"/>
        <w:keepLines w:val="0"/>
        <w:pageBreakBefore w:val="0"/>
        <w:widowControl/>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四、部门项目组织实施情况</w:t>
      </w:r>
    </w:p>
    <w:p w14:paraId="19BDCCF9">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snapToGrid w:val="0"/>
          <w:color w:val="auto"/>
          <w:kern w:val="0"/>
          <w:sz w:val="32"/>
          <w:szCs w:val="32"/>
          <w:highlight w:val="none"/>
          <w:lang w:val="en-US" w:eastAsia="zh-CN"/>
        </w:rPr>
      </w:pPr>
      <w:r>
        <w:rPr>
          <w:rFonts w:hint="default" w:ascii="Times New Roman" w:hAnsi="Times New Roman" w:eastAsia="楷体_GB2312" w:cs="Times New Roman"/>
          <w:b/>
          <w:bCs/>
          <w:snapToGrid w:val="0"/>
          <w:color w:val="auto"/>
          <w:kern w:val="0"/>
          <w:sz w:val="32"/>
          <w:szCs w:val="32"/>
          <w:highlight w:val="none"/>
          <w:lang w:val="en-US" w:eastAsia="zh-CN"/>
        </w:rPr>
        <w:t>（一）部门管理制度及执行情况</w:t>
      </w:r>
    </w:p>
    <w:p w14:paraId="04E860B5">
      <w:pPr>
        <w:keepNext w:val="0"/>
        <w:keepLines w:val="0"/>
        <w:pageBreakBefore w:val="0"/>
        <w:widowControl w:val="0"/>
        <w:kinsoku/>
        <w:wordWrap/>
        <w:overflowPunct/>
        <w:topLinePunct/>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为健全各方面制度，完善治理体系，促进制度建设和治理效能更好转化融合，技师学院制定了《内部控制操作规程》，其中，制定了《预算管理办法》《收入管理办法》《经费支出管理办法》《采购管理办法》《资产管理办法》《建设项目管理》《建设项目资金管理》《合同业务管理办法》《科研项目管理办法》等管理制度，对预算、收支、采购、资产、项目、合同等经济业务进行了规范，对学院经济活动风险进行防范和管控。经现场评价核实，技师学院制度建设较为完善，部分制度执行效果有待加强。</w:t>
      </w:r>
    </w:p>
    <w:p w14:paraId="54600DB7">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snapToGrid w:val="0"/>
          <w:color w:val="auto"/>
          <w:kern w:val="0"/>
          <w:sz w:val="32"/>
          <w:szCs w:val="32"/>
          <w:highlight w:val="none"/>
          <w:lang w:val="en-US" w:eastAsia="zh-CN"/>
        </w:rPr>
      </w:pPr>
      <w:r>
        <w:rPr>
          <w:rFonts w:hint="default" w:ascii="Times New Roman" w:hAnsi="Times New Roman" w:eastAsia="楷体_GB2312" w:cs="Times New Roman"/>
          <w:b/>
          <w:bCs/>
          <w:snapToGrid w:val="0"/>
          <w:color w:val="auto"/>
          <w:kern w:val="0"/>
          <w:sz w:val="32"/>
          <w:szCs w:val="32"/>
          <w:highlight w:val="none"/>
          <w:lang w:val="en-US" w:eastAsia="zh-CN"/>
        </w:rPr>
        <w:t>（二）政府采购管理</w:t>
      </w:r>
    </w:p>
    <w:p w14:paraId="129D9F8D">
      <w:pPr>
        <w:keepNext w:val="0"/>
        <w:keepLines w:val="0"/>
        <w:pageBreakBefore w:val="0"/>
        <w:widowControl w:val="0"/>
        <w:kinsoku/>
        <w:wordWrap/>
        <w:overflowPunct/>
        <w:topLinePunct/>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技师学院根据《中华人民共和国政府采购法》《中华人民共和国招标投标法》《教育部政府采购管理暂行办法》《衡阳市2020年政府集中采购目录及采购限额标准》制定了《采购管理办法》，对采购方式及采购程序作出了明确规定。</w:t>
      </w:r>
    </w:p>
    <w:p w14:paraId="2DFB39CF">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2022年本部门政府采购预算总额7,630万元。在具体的实施执行中，2022年度技师学院实施公开招标、竞争性谈判的政府采购项目共19个项目，涉及中标金额达5,278.11万元，其中，采购货物金额3,209.06万元，主要为公共实训基地视频会议室与多功能报告厅购置无纸化系统设备、工业4.0产教融合、创新实训室数字技能人才创新与实践实训室等；采购服务金额为1066.96万元，采购服务为2022-2024年物业管理服务外包、学院2022-2023年度学生平险及实习责任保险；采购工程金额1,002.10万元，主要为高技能人才培训基地配套设施建设项目代建单位招标、健康养老项目、学院三塘校区老旧小区主体及附属设施改造项目。</w:t>
      </w:r>
    </w:p>
    <w:p w14:paraId="4549015D">
      <w:pPr>
        <w:keepNext w:val="0"/>
        <w:keepLines w:val="0"/>
        <w:pageBreakBefore w:val="0"/>
        <w:widowControl/>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五、主要绩效情况</w:t>
      </w:r>
    </w:p>
    <w:p w14:paraId="55D1C447">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snapToGrid w:val="0"/>
          <w:color w:val="auto"/>
          <w:kern w:val="0"/>
          <w:sz w:val="32"/>
          <w:szCs w:val="32"/>
          <w:highlight w:val="none"/>
          <w:lang w:val="en-US" w:eastAsia="zh-CN"/>
        </w:rPr>
      </w:pPr>
      <w:r>
        <w:rPr>
          <w:rFonts w:hint="default" w:ascii="Times New Roman" w:hAnsi="Times New Roman" w:eastAsia="楷体_GB2312" w:cs="Times New Roman"/>
          <w:b/>
          <w:bCs/>
          <w:snapToGrid w:val="0"/>
          <w:color w:val="auto"/>
          <w:kern w:val="0"/>
          <w:sz w:val="32"/>
          <w:szCs w:val="32"/>
          <w:highlight w:val="none"/>
          <w:lang w:val="en-US" w:eastAsia="zh-CN"/>
        </w:rPr>
        <w:t>（一）创新教学模式，实现产教融合与技能竞赛双管齐下</w:t>
      </w:r>
    </w:p>
    <w:p w14:paraId="4A5A5C3A">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snapToGrid w:val="0"/>
          <w:color w:val="auto"/>
          <w:kern w:val="0"/>
          <w:sz w:val="32"/>
          <w:szCs w:val="32"/>
          <w:highlight w:val="none"/>
          <w:lang w:eastAsia="zh-CN"/>
        </w:rPr>
      </w:pPr>
      <w:r>
        <w:rPr>
          <w:rFonts w:hint="default" w:ascii="Times New Roman" w:hAnsi="Times New Roman" w:eastAsia="仿宋_GB2312" w:cs="Times New Roman"/>
          <w:b/>
          <w:bCs/>
          <w:snapToGrid w:val="0"/>
          <w:color w:val="auto"/>
          <w:kern w:val="0"/>
          <w:sz w:val="32"/>
          <w:szCs w:val="32"/>
          <w:highlight w:val="none"/>
          <w:lang w:val="en-US" w:eastAsia="zh-CN"/>
        </w:rPr>
        <w:t>1.</w:t>
      </w:r>
      <w:r>
        <w:rPr>
          <w:rFonts w:hint="default" w:ascii="Times New Roman" w:hAnsi="Times New Roman" w:eastAsia="仿宋_GB2312" w:cs="Times New Roman"/>
          <w:b/>
          <w:bCs/>
          <w:snapToGrid w:val="0"/>
          <w:color w:val="auto"/>
          <w:kern w:val="0"/>
          <w:sz w:val="32"/>
          <w:szCs w:val="32"/>
          <w:highlight w:val="none"/>
        </w:rPr>
        <w:t>推动产教融合，强化协同育人</w:t>
      </w:r>
    </w:p>
    <w:p w14:paraId="09C879A4">
      <w:pPr>
        <w:keepNext w:val="0"/>
        <w:keepLines w:val="0"/>
        <w:pageBreakBefore w:val="0"/>
        <w:widowControl w:val="0"/>
        <w:kinsoku/>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snapToGrid w:val="0"/>
          <w:color w:val="auto"/>
          <w:kern w:val="0"/>
          <w:sz w:val="32"/>
          <w:szCs w:val="32"/>
          <w:highlight w:val="none"/>
        </w:rPr>
      </w:pPr>
      <w:r>
        <w:rPr>
          <w:rFonts w:hint="default" w:ascii="Times New Roman" w:hAnsi="Times New Roman" w:eastAsia="仿宋_GB2312" w:cs="Times New Roman"/>
          <w:snapToGrid w:val="0"/>
          <w:color w:val="auto"/>
          <w:kern w:val="0"/>
          <w:sz w:val="32"/>
          <w:szCs w:val="32"/>
          <w:highlight w:val="none"/>
        </w:rPr>
        <w:t>学院大力推进人才培养模式改革，与东莞鑫耀模具有限公司按国家级标准建设产教融合实训基地，严格按企业用工标准进行实岗训练，目前可容纳约100人同时实训，明年将规模增加至500人。与深圳本色饰品共建“教学型工厂”并组建定向班，开展工学一体的产教融合人才培养，将企业产业链与学院模具、CAD设计、机械加工、电商直播等专业相结合，共同制定专业教学计划和人才培养方案，“教学型工厂”设有培训室、产品加工车间、实训车间、模具车间、产品设计室、产品展览室，目前已基本建设完成，总投资达1</w:t>
      </w:r>
      <w:r>
        <w:rPr>
          <w:rFonts w:hint="default" w:ascii="Times New Roman" w:hAnsi="Times New Roman" w:eastAsia="仿宋_GB2312" w:cs="Times New Roman"/>
          <w:snapToGrid w:val="0"/>
          <w:color w:val="auto"/>
          <w:kern w:val="0"/>
          <w:sz w:val="32"/>
          <w:szCs w:val="32"/>
          <w:highlight w:val="none"/>
          <w:lang w:val="en-US" w:eastAsia="zh-CN"/>
        </w:rPr>
        <w:t>,</w:t>
      </w:r>
      <w:r>
        <w:rPr>
          <w:rFonts w:hint="default" w:ascii="Times New Roman" w:hAnsi="Times New Roman" w:eastAsia="仿宋_GB2312" w:cs="Times New Roman"/>
          <w:snapToGrid w:val="0"/>
          <w:color w:val="auto"/>
          <w:kern w:val="0"/>
          <w:sz w:val="32"/>
          <w:szCs w:val="32"/>
          <w:highlight w:val="none"/>
        </w:rPr>
        <w:t>000</w:t>
      </w:r>
      <w:r>
        <w:rPr>
          <w:rFonts w:hint="default" w:ascii="Times New Roman" w:hAnsi="Times New Roman" w:eastAsia="仿宋_GB2312" w:cs="Times New Roman"/>
          <w:snapToGrid w:val="0"/>
          <w:color w:val="auto"/>
          <w:kern w:val="0"/>
          <w:sz w:val="32"/>
          <w:szCs w:val="32"/>
          <w:highlight w:val="none"/>
          <w:lang w:val="en-US" w:eastAsia="zh-CN"/>
        </w:rPr>
        <w:t>.00</w:t>
      </w:r>
      <w:r>
        <w:rPr>
          <w:rFonts w:hint="default" w:ascii="Times New Roman" w:hAnsi="Times New Roman" w:eastAsia="仿宋_GB2312" w:cs="Times New Roman"/>
          <w:snapToGrid w:val="0"/>
          <w:color w:val="auto"/>
          <w:kern w:val="0"/>
          <w:sz w:val="32"/>
          <w:szCs w:val="32"/>
          <w:highlight w:val="none"/>
        </w:rPr>
        <w:t>万元。此外，学院还与中国邮政、特变电工、奇瑞汽车、衡阳华菱钢管等8家优质企业签订深度校企合作协议，进一步探索校企协同育人新模式</w:t>
      </w:r>
      <w:r>
        <w:rPr>
          <w:rFonts w:hint="default" w:ascii="Times New Roman" w:hAnsi="Times New Roman" w:eastAsia="仿宋_GB2312" w:cs="Times New Roman"/>
          <w:snapToGrid w:val="0"/>
          <w:color w:val="auto"/>
          <w:kern w:val="0"/>
          <w:sz w:val="32"/>
          <w:szCs w:val="32"/>
          <w:highlight w:val="none"/>
          <w:lang w:eastAsia="zh-CN"/>
        </w:rPr>
        <w:t>。</w:t>
      </w:r>
      <w:r>
        <w:rPr>
          <w:rFonts w:hint="default" w:ascii="Times New Roman" w:hAnsi="Times New Roman" w:eastAsia="仿宋_GB2312" w:cs="Times New Roman"/>
          <w:snapToGrid w:val="0"/>
          <w:color w:val="auto"/>
          <w:kern w:val="0"/>
          <w:sz w:val="32"/>
          <w:szCs w:val="32"/>
          <w:highlight w:val="none"/>
        </w:rPr>
        <w:t>学院紧贴市场需求，适应发展需要，积极调整专业结构，新开直播电商服务、幼儿保育、智能网联汽车技术应用等5个新兴专业，进一步拓宽了办学范围，为学生提供了更好地成才途径。</w:t>
      </w:r>
    </w:p>
    <w:p w14:paraId="58745832">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snapToGrid w:val="0"/>
          <w:color w:val="auto"/>
          <w:kern w:val="0"/>
          <w:sz w:val="32"/>
          <w:szCs w:val="32"/>
          <w:highlight w:val="none"/>
          <w:lang w:val="en-US" w:eastAsia="zh-CN"/>
        </w:rPr>
      </w:pPr>
      <w:r>
        <w:rPr>
          <w:rFonts w:hint="default" w:ascii="Times New Roman" w:hAnsi="Times New Roman" w:eastAsia="仿宋_GB2312" w:cs="Times New Roman"/>
          <w:b/>
          <w:bCs/>
          <w:snapToGrid w:val="0"/>
          <w:color w:val="auto"/>
          <w:kern w:val="0"/>
          <w:sz w:val="32"/>
          <w:szCs w:val="32"/>
          <w:highlight w:val="none"/>
          <w:lang w:val="en-US" w:eastAsia="zh-CN"/>
        </w:rPr>
        <w:t>2.坚持引育并重，建强师资队伍</w:t>
      </w:r>
    </w:p>
    <w:p w14:paraId="609F85AC">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snapToGrid w:val="0"/>
          <w:color w:val="auto"/>
          <w:kern w:val="0"/>
          <w:sz w:val="32"/>
          <w:szCs w:val="32"/>
          <w:highlight w:val="none"/>
        </w:rPr>
      </w:pPr>
      <w:r>
        <w:rPr>
          <w:rFonts w:hint="default" w:ascii="Times New Roman" w:hAnsi="Times New Roman" w:eastAsia="仿宋_GB2312" w:cs="Times New Roman"/>
          <w:snapToGrid w:val="0"/>
          <w:color w:val="auto"/>
          <w:kern w:val="0"/>
          <w:sz w:val="32"/>
          <w:szCs w:val="32"/>
          <w:highlight w:val="none"/>
        </w:rPr>
        <w:t>全年人才引进硕士研究生3人。公开招聘27人，其中硕士研究生16人。统筹安排77名教师下企业培训，扩大“双师型”教师队伍。参评技校教师系列正高级职称2人，高级职称2人。创新开展“传帮带”活动，对新进年轻教师建立一对一帮扶机制。成功申报2022年湖南省技工教育职业培训研究课题4个，其中重点课题1个</w:t>
      </w:r>
      <w:r>
        <w:rPr>
          <w:rFonts w:hint="default" w:ascii="Times New Roman" w:hAnsi="Times New Roman" w:eastAsia="仿宋_GB2312" w:cs="Times New Roman"/>
          <w:snapToGrid w:val="0"/>
          <w:color w:val="auto"/>
          <w:kern w:val="0"/>
          <w:sz w:val="32"/>
          <w:szCs w:val="32"/>
          <w:highlight w:val="none"/>
          <w:lang w:eastAsia="zh-CN"/>
        </w:rPr>
        <w:t>；</w:t>
      </w:r>
      <w:r>
        <w:rPr>
          <w:rFonts w:hint="default" w:ascii="Times New Roman" w:hAnsi="Times New Roman" w:eastAsia="仿宋_GB2312" w:cs="Times New Roman"/>
          <w:snapToGrid w:val="0"/>
          <w:color w:val="auto"/>
          <w:kern w:val="0"/>
          <w:sz w:val="32"/>
          <w:szCs w:val="32"/>
          <w:highlight w:val="none"/>
        </w:rPr>
        <w:t>成功立项2022年度衡阳市社科基金项目4个，其中重点项目1个；组织教师参与2022年省职业教育与成人教育优秀论文评选和省技工教育省级教学成果奖评选活动，获一二三等奖各一个。组织安排624名教师参加相关业务培训，师资队伍的综合素质和教学能力得到进一步提高。</w:t>
      </w:r>
    </w:p>
    <w:p w14:paraId="2DBCC245">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snapToGrid w:val="0"/>
          <w:color w:val="auto"/>
          <w:kern w:val="0"/>
          <w:sz w:val="32"/>
          <w:szCs w:val="32"/>
          <w:highlight w:val="none"/>
          <w:lang w:eastAsia="zh-CN"/>
        </w:rPr>
      </w:pPr>
      <w:r>
        <w:rPr>
          <w:rFonts w:hint="default" w:ascii="Times New Roman" w:hAnsi="Times New Roman" w:eastAsia="仿宋_GB2312" w:cs="Times New Roman"/>
          <w:b/>
          <w:bCs/>
          <w:snapToGrid w:val="0"/>
          <w:color w:val="auto"/>
          <w:kern w:val="0"/>
          <w:sz w:val="32"/>
          <w:szCs w:val="32"/>
          <w:highlight w:val="none"/>
          <w:lang w:val="en-US" w:eastAsia="zh-CN"/>
        </w:rPr>
        <w:t>3.</w:t>
      </w:r>
      <w:r>
        <w:rPr>
          <w:rFonts w:hint="default" w:ascii="Times New Roman" w:hAnsi="Times New Roman" w:eastAsia="仿宋_GB2312" w:cs="Times New Roman"/>
          <w:b/>
          <w:bCs/>
          <w:snapToGrid w:val="0"/>
          <w:color w:val="auto"/>
          <w:kern w:val="0"/>
          <w:sz w:val="32"/>
          <w:szCs w:val="32"/>
          <w:highlight w:val="none"/>
        </w:rPr>
        <w:t>坚持技能特色，突出竞赛引领</w:t>
      </w:r>
      <w:r>
        <w:rPr>
          <w:rFonts w:hint="default" w:ascii="Times New Roman" w:hAnsi="Times New Roman" w:eastAsia="仿宋_GB2312" w:cs="Times New Roman"/>
          <w:b/>
          <w:bCs/>
          <w:snapToGrid w:val="0"/>
          <w:color w:val="auto"/>
          <w:kern w:val="0"/>
          <w:sz w:val="32"/>
          <w:szCs w:val="32"/>
          <w:highlight w:val="none"/>
          <w:lang w:eastAsia="zh-CN"/>
        </w:rPr>
        <w:t>。</w:t>
      </w:r>
    </w:p>
    <w:p w14:paraId="05E44A4B">
      <w:pPr>
        <w:keepNext w:val="0"/>
        <w:keepLines w:val="0"/>
        <w:pageBreakBefore w:val="0"/>
        <w:widowControl w:val="0"/>
        <w:numPr>
          <w:ilvl w:val="0"/>
          <w:numId w:val="0"/>
        </w:numPr>
        <w:kinsoku/>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snapToGrid w:val="0"/>
          <w:color w:val="auto"/>
          <w:kern w:val="0"/>
          <w:sz w:val="32"/>
          <w:szCs w:val="32"/>
          <w:highlight w:val="none"/>
        </w:rPr>
      </w:pPr>
      <w:r>
        <w:rPr>
          <w:rFonts w:hint="default" w:ascii="Times New Roman" w:hAnsi="Times New Roman" w:eastAsia="仿宋_GB2312" w:cs="Times New Roman"/>
          <w:snapToGrid w:val="0"/>
          <w:color w:val="auto"/>
          <w:kern w:val="0"/>
          <w:sz w:val="32"/>
          <w:szCs w:val="32"/>
          <w:highlight w:val="none"/>
        </w:rPr>
        <w:t>学院坚持以赛促教、以赛促学，以赛促改，教学质量显著提升，竞赛成绩取得历史性突破。2022年共获得国家级奖项5个，省级奖项130个，市级奖项16个。特别是在湖南省第一届职业技能大赛上，学院共派出37名选手，参加26个项目，斩获5金8银5铜以及16个优胜奖的优异成绩，在全省参赛院校中奖项总数第一，金牌总数第二，再一次刷新了学院竞赛成绩历史纪录。</w:t>
      </w:r>
    </w:p>
    <w:p w14:paraId="6AF773FD">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snapToGrid w:val="0"/>
          <w:color w:val="auto"/>
          <w:kern w:val="0"/>
          <w:sz w:val="32"/>
          <w:szCs w:val="32"/>
          <w:highlight w:val="none"/>
          <w:lang w:val="en-US" w:eastAsia="zh-CN"/>
        </w:rPr>
      </w:pPr>
      <w:r>
        <w:rPr>
          <w:rFonts w:hint="default" w:ascii="Times New Roman" w:hAnsi="Times New Roman" w:eastAsia="楷体_GB2312" w:cs="Times New Roman"/>
          <w:b/>
          <w:bCs/>
          <w:snapToGrid w:val="0"/>
          <w:color w:val="auto"/>
          <w:kern w:val="0"/>
          <w:sz w:val="32"/>
          <w:szCs w:val="32"/>
          <w:highlight w:val="none"/>
          <w:lang w:val="en-US" w:eastAsia="zh-CN"/>
        </w:rPr>
        <w:t>（二）促进招生就业，实现办学渠道与就业工作同频共振</w:t>
      </w:r>
    </w:p>
    <w:p w14:paraId="784D8BE7">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snapToGrid w:val="0"/>
          <w:color w:val="auto"/>
          <w:kern w:val="0"/>
          <w:sz w:val="32"/>
          <w:szCs w:val="32"/>
          <w:highlight w:val="none"/>
          <w:lang w:eastAsia="zh-CN"/>
        </w:rPr>
      </w:pPr>
      <w:r>
        <w:rPr>
          <w:rFonts w:hint="default" w:ascii="Times New Roman" w:hAnsi="Times New Roman" w:eastAsia="仿宋_GB2312" w:cs="Times New Roman"/>
          <w:b/>
          <w:bCs/>
          <w:snapToGrid w:val="0"/>
          <w:color w:val="auto"/>
          <w:kern w:val="0"/>
          <w:sz w:val="32"/>
          <w:szCs w:val="32"/>
          <w:highlight w:val="none"/>
          <w:lang w:val="en-US" w:eastAsia="zh-CN"/>
        </w:rPr>
        <w:t>1.</w:t>
      </w:r>
      <w:r>
        <w:rPr>
          <w:rFonts w:hint="default" w:ascii="Times New Roman" w:hAnsi="Times New Roman" w:eastAsia="仿宋_GB2312" w:cs="Times New Roman"/>
          <w:b/>
          <w:bCs/>
          <w:snapToGrid w:val="0"/>
          <w:color w:val="auto"/>
          <w:kern w:val="0"/>
          <w:sz w:val="32"/>
          <w:szCs w:val="32"/>
          <w:highlight w:val="none"/>
        </w:rPr>
        <w:t>招生工作打开“新局面”</w:t>
      </w:r>
    </w:p>
    <w:p w14:paraId="68D261C9">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snapToGrid w:val="0"/>
          <w:color w:val="auto"/>
          <w:kern w:val="0"/>
          <w:sz w:val="32"/>
          <w:szCs w:val="32"/>
          <w:highlight w:val="none"/>
        </w:rPr>
      </w:pPr>
      <w:r>
        <w:rPr>
          <w:rFonts w:hint="default" w:ascii="Times New Roman" w:hAnsi="Times New Roman" w:eastAsia="仿宋_GB2312" w:cs="Times New Roman"/>
          <w:snapToGrid w:val="0"/>
          <w:color w:val="auto"/>
          <w:kern w:val="0"/>
          <w:sz w:val="32"/>
          <w:szCs w:val="32"/>
          <w:highlight w:val="none"/>
        </w:rPr>
        <w:t>一年来，学院克服了对技工院校和技能教育的各种恶意诋毁、歪曲宣传，圆满完成了全年招生计划，共计招生3023人，各项数据创近年来新高。首创“3+3”预备技师班培养模式，为招生工作拓宽了生源途径。全面消除了小班现象，生源结构进一步优化，严格执行择优录取要求，生源质量进一步提高。</w:t>
      </w:r>
    </w:p>
    <w:p w14:paraId="4371F1F7">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snapToGrid w:val="0"/>
          <w:color w:val="auto"/>
          <w:kern w:val="0"/>
          <w:sz w:val="32"/>
          <w:szCs w:val="32"/>
          <w:highlight w:val="none"/>
          <w:lang w:eastAsia="zh-CN"/>
        </w:rPr>
      </w:pPr>
      <w:r>
        <w:rPr>
          <w:rFonts w:hint="default" w:ascii="Times New Roman" w:hAnsi="Times New Roman" w:eastAsia="仿宋_GB2312" w:cs="Times New Roman"/>
          <w:b/>
          <w:bCs/>
          <w:snapToGrid w:val="0"/>
          <w:color w:val="auto"/>
          <w:kern w:val="0"/>
          <w:sz w:val="32"/>
          <w:szCs w:val="32"/>
          <w:highlight w:val="none"/>
          <w:lang w:val="en-US" w:eastAsia="zh-CN"/>
        </w:rPr>
        <w:t>2.</w:t>
      </w:r>
      <w:r>
        <w:rPr>
          <w:rFonts w:hint="default" w:ascii="Times New Roman" w:hAnsi="Times New Roman" w:eastAsia="仿宋_GB2312" w:cs="Times New Roman"/>
          <w:b/>
          <w:bCs/>
          <w:snapToGrid w:val="0"/>
          <w:color w:val="auto"/>
          <w:kern w:val="0"/>
          <w:sz w:val="32"/>
          <w:szCs w:val="32"/>
          <w:highlight w:val="none"/>
        </w:rPr>
        <w:t>学生就业呈现“新态势”</w:t>
      </w:r>
    </w:p>
    <w:p w14:paraId="0BDFD668">
      <w:pPr>
        <w:keepNext w:val="0"/>
        <w:keepLines w:val="0"/>
        <w:pageBreakBefore w:val="0"/>
        <w:widowControl w:val="0"/>
        <w:numPr>
          <w:ilvl w:val="0"/>
          <w:numId w:val="0"/>
        </w:numPr>
        <w:kinsoku/>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snapToGrid w:val="0"/>
          <w:color w:val="auto"/>
          <w:kern w:val="0"/>
          <w:sz w:val="32"/>
          <w:szCs w:val="32"/>
          <w:highlight w:val="none"/>
        </w:rPr>
      </w:pPr>
      <w:r>
        <w:rPr>
          <w:rFonts w:hint="default" w:ascii="Times New Roman" w:hAnsi="Times New Roman" w:eastAsia="仿宋_GB2312" w:cs="Times New Roman"/>
          <w:snapToGrid w:val="0"/>
          <w:color w:val="auto"/>
          <w:kern w:val="0"/>
          <w:sz w:val="32"/>
          <w:szCs w:val="32"/>
          <w:highlight w:val="none"/>
        </w:rPr>
        <w:t>学院精准研判今年就业形势，坚持以服务湖南省内、衡阳本地经济为主，积极对接白沙、松木、高新等园区以及衡州大道数字经济走廊相关企业</w:t>
      </w:r>
      <w:r>
        <w:rPr>
          <w:rFonts w:hint="default" w:ascii="Times New Roman" w:hAnsi="Times New Roman" w:eastAsia="仿宋_GB2312" w:cs="Times New Roman"/>
          <w:snapToGrid w:val="0"/>
          <w:color w:val="auto"/>
          <w:kern w:val="0"/>
          <w:sz w:val="32"/>
          <w:szCs w:val="32"/>
          <w:highlight w:val="none"/>
          <w:lang w:eastAsia="zh-CN"/>
        </w:rPr>
        <w:t>，</w:t>
      </w:r>
      <w:r>
        <w:rPr>
          <w:rFonts w:hint="default" w:ascii="Times New Roman" w:hAnsi="Times New Roman" w:eastAsia="仿宋_GB2312" w:cs="Times New Roman"/>
          <w:snapToGrid w:val="0"/>
          <w:color w:val="auto"/>
          <w:kern w:val="0"/>
          <w:sz w:val="32"/>
          <w:szCs w:val="32"/>
          <w:highlight w:val="none"/>
        </w:rPr>
        <w:t>先后与特变电工、南岳电控、衡阳钢管等本地名优企业开展校企合作，为就业工作奠定了较好的基础。本年度毕业2352人，初次就业2312人，就业率达98.3%，其中本地占比44.65%</w:t>
      </w:r>
      <w:r>
        <w:rPr>
          <w:rFonts w:hint="default" w:ascii="Times New Roman" w:hAnsi="Times New Roman" w:eastAsia="仿宋_GB2312" w:cs="Times New Roman"/>
          <w:snapToGrid w:val="0"/>
          <w:color w:val="auto"/>
          <w:kern w:val="0"/>
          <w:sz w:val="32"/>
          <w:szCs w:val="32"/>
          <w:highlight w:val="none"/>
          <w:lang w:eastAsia="zh-CN"/>
        </w:rPr>
        <w:t>，</w:t>
      </w:r>
      <w:r>
        <w:rPr>
          <w:rFonts w:hint="default" w:ascii="Times New Roman" w:hAnsi="Times New Roman" w:eastAsia="仿宋_GB2312" w:cs="Times New Roman"/>
          <w:snapToGrid w:val="0"/>
          <w:color w:val="auto"/>
          <w:kern w:val="0"/>
          <w:sz w:val="32"/>
          <w:szCs w:val="32"/>
          <w:highlight w:val="none"/>
        </w:rPr>
        <w:t>长三角占比14.37%，珠三角占比24.49%，专业对口率88.61%</w:t>
      </w:r>
      <w:r>
        <w:rPr>
          <w:rFonts w:hint="default" w:ascii="Times New Roman" w:hAnsi="Times New Roman" w:eastAsia="仿宋_GB2312" w:cs="Times New Roman"/>
          <w:snapToGrid w:val="0"/>
          <w:color w:val="auto"/>
          <w:kern w:val="0"/>
          <w:sz w:val="32"/>
          <w:szCs w:val="32"/>
          <w:highlight w:val="none"/>
          <w:lang w:eastAsia="zh-CN"/>
        </w:rPr>
        <w:t>。</w:t>
      </w:r>
    </w:p>
    <w:p w14:paraId="76B6D99E">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snapToGrid w:val="0"/>
          <w:color w:val="auto"/>
          <w:kern w:val="0"/>
          <w:sz w:val="32"/>
          <w:szCs w:val="32"/>
          <w:highlight w:val="none"/>
          <w:lang w:val="en-US" w:eastAsia="zh-CN"/>
        </w:rPr>
      </w:pPr>
      <w:r>
        <w:rPr>
          <w:rFonts w:hint="default" w:ascii="Times New Roman" w:hAnsi="Times New Roman" w:eastAsia="楷体_GB2312" w:cs="Times New Roman"/>
          <w:b/>
          <w:bCs/>
          <w:snapToGrid w:val="0"/>
          <w:color w:val="auto"/>
          <w:kern w:val="0"/>
          <w:sz w:val="32"/>
          <w:szCs w:val="32"/>
          <w:highlight w:val="none"/>
          <w:lang w:val="en-US" w:eastAsia="zh-CN"/>
        </w:rPr>
        <w:t>（三）积极多维拓展，实现技能培训和项目建设多点开花</w:t>
      </w:r>
    </w:p>
    <w:p w14:paraId="0E28AF99">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snapToGrid w:val="0"/>
          <w:color w:val="auto"/>
          <w:kern w:val="0"/>
          <w:sz w:val="32"/>
          <w:szCs w:val="32"/>
          <w:highlight w:val="none"/>
          <w:lang w:eastAsia="zh-CN"/>
        </w:rPr>
      </w:pPr>
      <w:r>
        <w:rPr>
          <w:rFonts w:hint="default" w:ascii="Times New Roman" w:hAnsi="Times New Roman" w:eastAsia="仿宋_GB2312" w:cs="Times New Roman"/>
          <w:b/>
          <w:bCs/>
          <w:snapToGrid w:val="0"/>
          <w:color w:val="auto"/>
          <w:kern w:val="0"/>
          <w:sz w:val="32"/>
          <w:szCs w:val="32"/>
          <w:highlight w:val="none"/>
          <w:lang w:val="en-US" w:eastAsia="zh-CN"/>
        </w:rPr>
        <w:t>1.</w:t>
      </w:r>
      <w:r>
        <w:rPr>
          <w:rFonts w:hint="default" w:ascii="Times New Roman" w:hAnsi="Times New Roman" w:eastAsia="仿宋_GB2312" w:cs="Times New Roman"/>
          <w:b/>
          <w:bCs/>
          <w:snapToGrid w:val="0"/>
          <w:color w:val="auto"/>
          <w:kern w:val="0"/>
          <w:sz w:val="32"/>
          <w:szCs w:val="32"/>
          <w:highlight w:val="none"/>
        </w:rPr>
        <w:t>技能培训成绩喜人</w:t>
      </w:r>
    </w:p>
    <w:p w14:paraId="312B9C0C">
      <w:pPr>
        <w:keepNext w:val="0"/>
        <w:keepLines w:val="0"/>
        <w:pageBreakBefore w:val="0"/>
        <w:widowControl w:val="0"/>
        <w:kinsoku/>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snapToGrid w:val="0"/>
          <w:color w:val="auto"/>
          <w:kern w:val="0"/>
          <w:sz w:val="32"/>
          <w:szCs w:val="32"/>
          <w:highlight w:val="none"/>
        </w:rPr>
      </w:pPr>
      <w:r>
        <w:rPr>
          <w:rFonts w:hint="default" w:ascii="Times New Roman" w:hAnsi="Times New Roman" w:eastAsia="仿宋_GB2312" w:cs="Times New Roman"/>
          <w:snapToGrid w:val="0"/>
          <w:color w:val="auto"/>
          <w:kern w:val="0"/>
          <w:sz w:val="32"/>
          <w:szCs w:val="32"/>
          <w:highlight w:val="none"/>
        </w:rPr>
        <w:t>今年来，学院承办湖南省第三届教师职业能力大赛、2022年衡阳市考试录用公务员笔试、湖南省2022年度一级建造师资格考试等各类省市级比赛和大型考试7次。开展吐鲁番未就业大学生创业培训115人，鄯善县妇女干部培训45人，不仅得到了参与学员的认可，更得到了吐鲁番市和鄯善县相关领导的称赞。与市人社局共同举办专业技术人员继续教育培训、劳动关系协调员培训等共5232人次，取得良好培训效果，获得市人社局的肯定。积极主动与衡阳鸿涛机械加工有限公司、衡阳鸿菱石油管材有限责任公司、王一实业集团、衡阳万达等30家企业联系对接，认真组织开展技能等级认定，全年共培训认定17022人次。学院与市农委、市农机局、市乡村振兴局、市妇联、市委组织部远教中心、市移民局等单位持续加强合作，拓宽培训渠道和范围，对外交流和社会影响力进一步扩大，培训品牌逐渐形成。</w:t>
      </w:r>
    </w:p>
    <w:p w14:paraId="46776857">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snapToGrid w:val="0"/>
          <w:color w:val="auto"/>
          <w:kern w:val="0"/>
          <w:sz w:val="32"/>
          <w:szCs w:val="32"/>
          <w:highlight w:val="none"/>
          <w:lang w:eastAsia="zh-CN"/>
        </w:rPr>
      </w:pPr>
      <w:r>
        <w:rPr>
          <w:rFonts w:hint="default" w:ascii="Times New Roman" w:hAnsi="Times New Roman" w:eastAsia="仿宋_GB2312" w:cs="Times New Roman"/>
          <w:b/>
          <w:bCs/>
          <w:snapToGrid w:val="0"/>
          <w:color w:val="auto"/>
          <w:kern w:val="0"/>
          <w:sz w:val="32"/>
          <w:szCs w:val="32"/>
          <w:highlight w:val="none"/>
          <w:lang w:val="en-US" w:eastAsia="zh-CN"/>
        </w:rPr>
        <w:t>2.</w:t>
      </w:r>
      <w:r>
        <w:rPr>
          <w:rFonts w:hint="default" w:ascii="Times New Roman" w:hAnsi="Times New Roman" w:eastAsia="仿宋_GB2312" w:cs="Times New Roman"/>
          <w:b/>
          <w:bCs/>
          <w:snapToGrid w:val="0"/>
          <w:color w:val="auto"/>
          <w:kern w:val="0"/>
          <w:sz w:val="32"/>
          <w:szCs w:val="32"/>
          <w:highlight w:val="none"/>
        </w:rPr>
        <w:t>项目建设硕果累累</w:t>
      </w:r>
    </w:p>
    <w:p w14:paraId="56ED5EB4">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snapToGrid w:val="0"/>
          <w:color w:val="auto"/>
          <w:kern w:val="0"/>
          <w:sz w:val="32"/>
          <w:szCs w:val="32"/>
          <w:highlight w:val="none"/>
        </w:rPr>
      </w:pPr>
      <w:r>
        <w:rPr>
          <w:rFonts w:hint="default" w:ascii="Times New Roman" w:hAnsi="Times New Roman" w:eastAsia="仿宋_GB2312" w:cs="Times New Roman"/>
          <w:snapToGrid w:val="0"/>
          <w:color w:val="auto"/>
          <w:kern w:val="0"/>
          <w:sz w:val="32"/>
          <w:szCs w:val="32"/>
          <w:highlight w:val="none"/>
        </w:rPr>
        <w:t>学院成功申报衡阳技师学院高技能人才实训基地配套设施建设项目、衡阳市技能大师工作室（六个工种）建设项目等4个市级项目；成功申报湖南省优质技工院校建设项目、湖南省优质技工教育专业建设项目等7个省级项目；成功申报中央财政贴息贷款项目、国家级高技能人才培训基地建设项目等3个国家级项目，为下一步的建设和发展奠定了坚实的基础。</w:t>
      </w:r>
    </w:p>
    <w:p w14:paraId="26F0CB32">
      <w:pPr>
        <w:keepNext w:val="0"/>
        <w:keepLines w:val="0"/>
        <w:pageBreakBefore w:val="0"/>
        <w:widowControl/>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六、存在的问题</w:t>
      </w:r>
    </w:p>
    <w:p w14:paraId="6038F291">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snapToGrid w:val="0"/>
          <w:color w:val="auto"/>
          <w:kern w:val="0"/>
          <w:sz w:val="32"/>
          <w:szCs w:val="32"/>
          <w:highlight w:val="none"/>
          <w:lang w:val="en-US" w:eastAsia="zh-CN"/>
        </w:rPr>
      </w:pPr>
      <w:r>
        <w:rPr>
          <w:rFonts w:hint="default" w:ascii="Times New Roman" w:hAnsi="Times New Roman" w:eastAsia="楷体_GB2312" w:cs="Times New Roman"/>
          <w:b/>
          <w:bCs/>
          <w:snapToGrid w:val="0"/>
          <w:color w:val="auto"/>
          <w:kern w:val="0"/>
          <w:sz w:val="32"/>
          <w:szCs w:val="32"/>
          <w:highlight w:val="none"/>
          <w:lang w:val="en-US" w:eastAsia="zh-CN"/>
        </w:rPr>
        <w:t>（一）预算绩效管理待完善</w:t>
      </w:r>
    </w:p>
    <w:p w14:paraId="490BF6AC">
      <w:pPr>
        <w:pStyle w:val="3"/>
        <w:keepNext w:val="0"/>
        <w:keepLines w:val="0"/>
        <w:pageBreakBefore w:val="0"/>
        <w:widowControl w:val="0"/>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在绩效管理方面，</w:t>
      </w:r>
      <w:r>
        <w:rPr>
          <w:rFonts w:hint="default" w:ascii="Times New Roman" w:hAnsi="Times New Roman" w:cs="Times New Roman"/>
          <w:b/>
          <w:bCs/>
          <w:color w:val="auto"/>
          <w:kern w:val="0"/>
          <w:szCs w:val="21"/>
          <w:lang w:val="en-US" w:eastAsia="zh-CN"/>
        </w:rPr>
        <w:t>一是</w:t>
      </w:r>
      <w:r>
        <w:rPr>
          <w:rFonts w:hint="default" w:ascii="Times New Roman" w:hAnsi="Times New Roman" w:cs="Times New Roman"/>
          <w:color w:val="auto"/>
          <w:kern w:val="0"/>
          <w:szCs w:val="21"/>
          <w:lang w:val="en-US" w:eastAsia="zh-CN"/>
        </w:rPr>
        <w:t>项目绩效目标编制不完整，专项债项目绩效目标未按预算编制要求同步申报及信息公开，一些上级专项资金也未编制绩效目标。</w:t>
      </w:r>
      <w:r>
        <w:rPr>
          <w:rFonts w:hint="default" w:ascii="Times New Roman" w:hAnsi="Times New Roman" w:cs="Times New Roman"/>
          <w:b/>
          <w:bCs/>
          <w:color w:val="auto"/>
          <w:kern w:val="0"/>
          <w:szCs w:val="21"/>
          <w:lang w:val="en-US" w:eastAsia="zh-CN"/>
        </w:rPr>
        <w:t>二是</w:t>
      </w:r>
      <w:r>
        <w:rPr>
          <w:rFonts w:hint="default" w:ascii="Times New Roman" w:hAnsi="Times New Roman" w:cs="Times New Roman"/>
          <w:color w:val="auto"/>
          <w:kern w:val="0"/>
          <w:szCs w:val="21"/>
          <w:lang w:val="en-US" w:eastAsia="zh-CN"/>
        </w:rPr>
        <w:t>绩效目标编制质量不高。绩效目标内容不完整，未能充分反映技师学院</w:t>
      </w:r>
      <w:r>
        <w:rPr>
          <w:rFonts w:hint="eastAsia" w:ascii="Times New Roman" w:hAnsi="Times New Roman" w:cs="Times New Roman"/>
          <w:color w:val="auto"/>
          <w:kern w:val="0"/>
          <w:szCs w:val="21"/>
          <w:lang w:val="en-US" w:eastAsia="zh-CN"/>
        </w:rPr>
        <w:t>“十四五”规划</w:t>
      </w:r>
      <w:r>
        <w:rPr>
          <w:rFonts w:hint="default" w:ascii="Times New Roman" w:hAnsi="Times New Roman" w:cs="Times New Roman"/>
          <w:color w:val="auto"/>
          <w:kern w:val="0"/>
          <w:szCs w:val="21"/>
          <w:lang w:val="en-US" w:eastAsia="zh-CN"/>
        </w:rPr>
        <w:t>、年度重点工作任务内容；可量化细化绩效指标细化较少，仅有一个“招生人数&gt;3000人”量化的指标值</w:t>
      </w:r>
      <w:r>
        <w:rPr>
          <w:rFonts w:hint="default" w:ascii="Times New Roman" w:hAnsi="Times New Roman" w:eastAsia="黑体" w:cs="Times New Roman"/>
          <w:snapToGrid w:val="0"/>
          <w:color w:val="auto"/>
          <w:kern w:val="0"/>
          <w:sz w:val="32"/>
          <w:szCs w:val="32"/>
          <w:lang w:val="en-US" w:eastAsia="zh-CN"/>
        </w:rPr>
        <w:t>，</w:t>
      </w:r>
      <w:r>
        <w:rPr>
          <w:rFonts w:hint="default" w:ascii="Times New Roman" w:hAnsi="Times New Roman" w:cs="Times New Roman"/>
          <w:color w:val="auto"/>
          <w:kern w:val="0"/>
          <w:szCs w:val="21"/>
          <w:lang w:val="en-US" w:eastAsia="zh-CN"/>
        </w:rPr>
        <w:t>其他的指标全部都是定性指标，且不可测量，无具体指标值；不同项目绩效目标内容完全一致，没有分别按不同的项目内容进行编制。</w:t>
      </w:r>
      <w:r>
        <w:rPr>
          <w:rFonts w:hint="default" w:ascii="Times New Roman" w:hAnsi="Times New Roman" w:cs="Times New Roman"/>
          <w:b/>
          <w:bCs/>
          <w:color w:val="auto"/>
          <w:kern w:val="0"/>
          <w:szCs w:val="21"/>
          <w:lang w:val="en-US" w:eastAsia="zh-CN"/>
        </w:rPr>
        <w:t>三是</w:t>
      </w:r>
      <w:r>
        <w:rPr>
          <w:rFonts w:hint="default" w:ascii="Times New Roman" w:hAnsi="Times New Roman" w:cs="Times New Roman"/>
          <w:color w:val="auto"/>
          <w:kern w:val="0"/>
          <w:szCs w:val="21"/>
          <w:lang w:val="en-US" w:eastAsia="zh-CN"/>
        </w:rPr>
        <w:t>学院对绩效相关工作的宣传力度不够，各处室、系部对于绩效工作的重要性认识不足。</w:t>
      </w:r>
      <w:r>
        <w:rPr>
          <w:rFonts w:hint="default" w:ascii="Times New Roman" w:hAnsi="Times New Roman" w:cs="Times New Roman"/>
          <w:b/>
          <w:bCs/>
          <w:color w:val="auto"/>
          <w:kern w:val="0"/>
          <w:szCs w:val="21"/>
          <w:lang w:val="en-US" w:eastAsia="zh-CN"/>
        </w:rPr>
        <w:t>四是</w:t>
      </w:r>
      <w:r>
        <w:rPr>
          <w:rFonts w:hint="default" w:ascii="Times New Roman" w:hAnsi="Times New Roman" w:cs="Times New Roman"/>
          <w:color w:val="auto"/>
          <w:kern w:val="0"/>
          <w:szCs w:val="21"/>
          <w:lang w:val="en-US" w:eastAsia="zh-CN"/>
        </w:rPr>
        <w:t>未建立评价结果与绩效考核相挂钩的绩效考核措施，绩效结果运用效果不佳。</w:t>
      </w:r>
    </w:p>
    <w:p w14:paraId="2FEFC7AA">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snapToGrid w:val="0"/>
          <w:color w:val="auto"/>
          <w:kern w:val="0"/>
          <w:sz w:val="32"/>
          <w:szCs w:val="32"/>
          <w:highlight w:val="none"/>
          <w:lang w:val="en-US" w:eastAsia="zh-CN"/>
        </w:rPr>
      </w:pPr>
      <w:r>
        <w:rPr>
          <w:rFonts w:hint="default" w:ascii="Times New Roman" w:hAnsi="Times New Roman" w:eastAsia="楷体_GB2312" w:cs="Times New Roman"/>
          <w:b/>
          <w:bCs/>
          <w:snapToGrid w:val="0"/>
          <w:color w:val="auto"/>
          <w:kern w:val="0"/>
          <w:sz w:val="32"/>
          <w:szCs w:val="32"/>
          <w:highlight w:val="none"/>
          <w:lang w:val="en-US" w:eastAsia="zh-CN"/>
        </w:rPr>
        <w:t>（二）专项债资金收支未按要求纳入预算管理</w:t>
      </w:r>
    </w:p>
    <w:p w14:paraId="26035C4F">
      <w:pPr>
        <w:keepNext w:val="0"/>
        <w:keepLines w:val="0"/>
        <w:pageBreakBefore w:val="0"/>
        <w:widowControl w:val="0"/>
        <w:numPr>
          <w:ilvl w:val="0"/>
          <w:numId w:val="0"/>
        </w:numPr>
        <w:kinsoku w:val="0"/>
        <w:wordWrap/>
        <w:overflowPunct/>
        <w:topLinePunct/>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val="en-US" w:eastAsia="zh-CN"/>
        </w:rPr>
        <w:t>自2021年以来，技师学院共计发行了衡阳市公共实训基地专项债项目8000.00万元和衡阳技师学院高技能人才培训基地配套设施建设项目11600.00万元共计19600.00万元，</w:t>
      </w:r>
      <w:r>
        <w:rPr>
          <w:rFonts w:hint="eastAsia" w:ascii="Times New Roman" w:hAnsi="Times New Roman" w:eastAsia="仿宋_GB2312" w:cs="Times New Roman"/>
          <w:b w:val="0"/>
          <w:bCs w:val="0"/>
          <w:snapToGrid w:val="0"/>
          <w:color w:val="auto"/>
          <w:kern w:val="0"/>
          <w:sz w:val="32"/>
          <w:szCs w:val="32"/>
          <w:highlight w:val="none"/>
          <w:lang w:val="en-US" w:eastAsia="zh-CN"/>
        </w:rPr>
        <w:t>截至</w:t>
      </w:r>
      <w:r>
        <w:rPr>
          <w:rFonts w:hint="default" w:ascii="Times New Roman" w:hAnsi="Times New Roman" w:eastAsia="仿宋_GB2312" w:cs="Times New Roman"/>
          <w:b w:val="0"/>
          <w:bCs w:val="0"/>
          <w:snapToGrid w:val="0"/>
          <w:color w:val="auto"/>
          <w:kern w:val="0"/>
          <w:sz w:val="32"/>
          <w:szCs w:val="32"/>
          <w:highlight w:val="none"/>
          <w:lang w:val="en-US" w:eastAsia="zh-CN"/>
        </w:rPr>
        <w:t>2023年3月31日，衡阳市公共实训基地专项债资金已支出6,005.82万元，预算执行率75.07%，衡阳技师学院高技能人才培训基地配套设施建设项目专项债资金拨付时间为2022年8月，</w:t>
      </w:r>
      <w:bookmarkStart w:id="1" w:name="_GoBack"/>
      <w:bookmarkEnd w:id="1"/>
      <w:r>
        <w:rPr>
          <w:rFonts w:hint="eastAsia" w:ascii="Times New Roman" w:hAnsi="Times New Roman" w:eastAsia="仿宋_GB2312" w:cs="Times New Roman"/>
          <w:b w:val="0"/>
          <w:bCs w:val="0"/>
          <w:snapToGrid w:val="0"/>
          <w:color w:val="auto"/>
          <w:kern w:val="0"/>
          <w:sz w:val="32"/>
          <w:szCs w:val="32"/>
          <w:highlight w:val="none"/>
          <w:lang w:val="en-US" w:eastAsia="zh-CN"/>
        </w:rPr>
        <w:t>截至本</w:t>
      </w:r>
      <w:r>
        <w:rPr>
          <w:rFonts w:hint="default" w:ascii="Times New Roman" w:hAnsi="Times New Roman" w:eastAsia="仿宋_GB2312" w:cs="Times New Roman"/>
          <w:b w:val="0"/>
          <w:bCs w:val="0"/>
          <w:snapToGrid w:val="0"/>
          <w:color w:val="auto"/>
          <w:kern w:val="0"/>
          <w:sz w:val="32"/>
          <w:szCs w:val="32"/>
          <w:highlight w:val="none"/>
          <w:lang w:val="en-US" w:eastAsia="zh-CN"/>
        </w:rPr>
        <w:t>年12月已支出265.14万元，预算执行率2.29%。</w:t>
      </w:r>
    </w:p>
    <w:p w14:paraId="7B26FC12">
      <w:pPr>
        <w:pStyle w:val="8"/>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val="en-US" w:eastAsia="zh-CN"/>
        </w:rPr>
        <w:t>上述两个项目专项债资金的收支均未纳入单位预算管理，不符合《高等学校财务制度》（财教(2022)128号）第二十三条和第二十七条“……各项收入应当全部纳入学校预算，统一核算，统一管理，未纳入预算的收入不得安排支出”“高等学校应当将各项支出全部纳入学校预算，实行项目库管理，建立健全支出管理制度，未纳入预算项目库的项目一律不得安排预算”。</w:t>
      </w:r>
    </w:p>
    <w:p w14:paraId="1E94809A">
      <w:pPr>
        <w:pStyle w:val="3"/>
        <w:keepNext w:val="0"/>
        <w:keepLines w:val="0"/>
        <w:pageBreakBefore w:val="0"/>
        <w:widowControl/>
        <w:kinsoku/>
        <w:wordWrap/>
        <w:overflowPunct/>
        <w:topLinePunct/>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cs="Times New Roman"/>
          <w:b w:val="0"/>
          <w:bCs w:val="0"/>
          <w:snapToGrid w:val="0"/>
          <w:color w:val="auto"/>
          <w:kern w:val="0"/>
          <w:sz w:val="32"/>
          <w:szCs w:val="32"/>
          <w:highlight w:val="none"/>
          <w:lang w:val="en-US" w:eastAsia="zh-CN"/>
        </w:rPr>
        <w:t>对于未纳入预算的原因，</w:t>
      </w:r>
      <w:r>
        <w:rPr>
          <w:rFonts w:hint="default" w:ascii="Times New Roman" w:hAnsi="Times New Roman" w:eastAsia="仿宋_GB2312" w:cs="Times New Roman"/>
          <w:b/>
          <w:bCs/>
          <w:snapToGrid w:val="0"/>
          <w:color w:val="auto"/>
          <w:kern w:val="0"/>
          <w:sz w:val="32"/>
          <w:szCs w:val="32"/>
          <w:highlight w:val="none"/>
          <w:lang w:val="en-US" w:eastAsia="zh-CN"/>
        </w:rPr>
        <w:t>技师学院</w:t>
      </w:r>
      <w:r>
        <w:rPr>
          <w:rFonts w:hint="default" w:ascii="Times New Roman" w:hAnsi="Times New Roman" w:cs="Times New Roman"/>
          <w:b/>
          <w:bCs/>
          <w:snapToGrid w:val="0"/>
          <w:color w:val="auto"/>
          <w:kern w:val="0"/>
          <w:sz w:val="32"/>
          <w:szCs w:val="32"/>
          <w:highlight w:val="none"/>
          <w:lang w:val="en-US" w:eastAsia="zh-CN"/>
        </w:rPr>
        <w:t>说明</w:t>
      </w:r>
      <w:r>
        <w:rPr>
          <w:rFonts w:hint="default" w:ascii="Times New Roman" w:hAnsi="Times New Roman" w:cs="Times New Roman"/>
          <w:b w:val="0"/>
          <w:bCs w:val="0"/>
          <w:snapToGrid w:val="0"/>
          <w:color w:val="auto"/>
          <w:kern w:val="0"/>
          <w:sz w:val="32"/>
          <w:szCs w:val="32"/>
          <w:highlight w:val="none"/>
          <w:lang w:val="en-US" w:eastAsia="zh-CN"/>
        </w:rPr>
        <w:t>：“根据衡阳市人民政府门户网站公开的《关于2021年市本级预算调整方案（草案）的报告》《关于2022年市本级预算调整方案（草案）的报告》，衡阳市公共实训基地项目、衡阳技师学院高技能人才培训基地配套设施建设项目专项债券收支均纳入了衡阳市本级预算管理”。我们认为这种解释理由不充分，在收到湖南省转贷专项债资金至拨付至预算部门期间，专项债资金是要纳入市本级预算，但当专项债资金拨付至技师学院之后，技师学院需要将收到的专项债资金纳入部门预算通过年中预算调整予以反映。</w:t>
      </w:r>
    </w:p>
    <w:p w14:paraId="6DB78053">
      <w:pPr>
        <w:keepNext w:val="0"/>
        <w:keepLines w:val="0"/>
        <w:pageBreakBefore w:val="0"/>
        <w:widowControl/>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（三）预决算编制有待完善</w:t>
      </w:r>
    </w:p>
    <w:p w14:paraId="13E8E36C">
      <w:pPr>
        <w:pStyle w:val="8"/>
        <w:keepNext w:val="0"/>
        <w:keepLines w:val="0"/>
        <w:pageBreakBefore w:val="0"/>
        <w:widowControl w:val="0"/>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val="en-US" w:eastAsia="zh-CN"/>
        </w:rPr>
        <w:t xml:space="preserve">技师学院预算与决算项目名称、范围、内容、支出明细均不一致，无规范的立项程序和标准，必要的论证不充分，随意性大。  </w:t>
      </w:r>
    </w:p>
    <w:p w14:paraId="0DCC57B0">
      <w:pPr>
        <w:pStyle w:val="8"/>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snapToGrid w:val="0"/>
          <w:color w:val="auto"/>
          <w:kern w:val="0"/>
          <w:sz w:val="32"/>
          <w:szCs w:val="32"/>
          <w:highlight w:val="none"/>
          <w:lang w:val="en-US" w:eastAsia="zh-CN"/>
        </w:rPr>
      </w:pPr>
      <w:r>
        <w:rPr>
          <w:rFonts w:hint="default" w:ascii="Times New Roman" w:hAnsi="Times New Roman" w:eastAsia="仿宋_GB2312" w:cs="Times New Roman"/>
          <w:b/>
          <w:bCs/>
          <w:snapToGrid w:val="0"/>
          <w:color w:val="auto"/>
          <w:kern w:val="0"/>
          <w:sz w:val="32"/>
          <w:szCs w:val="32"/>
          <w:highlight w:val="none"/>
          <w:lang w:val="en-US" w:eastAsia="zh-CN"/>
        </w:rPr>
        <w:t>1.项目预算编制依据不充分</w:t>
      </w:r>
    </w:p>
    <w:p w14:paraId="0980B785">
      <w:pPr>
        <w:pStyle w:val="8"/>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val="en-US" w:eastAsia="zh-CN"/>
        </w:rPr>
        <w:t>技师学院2022年3个项目年初预算10,322.15万元，项目立项依据不充分，均未经过必要的可行性研究、专家论证、风险评估、绩效评估、集体决策。项目预算编制不够精准及恰当。</w:t>
      </w:r>
    </w:p>
    <w:p w14:paraId="76A4D254">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bCs/>
          <w:snapToGrid w:val="0"/>
          <w:color w:val="auto"/>
          <w:kern w:val="0"/>
          <w:sz w:val="32"/>
          <w:szCs w:val="32"/>
          <w:highlight w:val="none"/>
          <w:lang w:val="en-US" w:eastAsia="zh-CN"/>
        </w:rPr>
        <w:t>2.项目预算编制不完整</w:t>
      </w:r>
    </w:p>
    <w:p w14:paraId="383FDE55">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val="en-US" w:eastAsia="zh-CN"/>
        </w:rPr>
        <w:t>当年项目预算编制，除了当期已纳入预算的项目，还需包含以前年度跨年未执行完毕的项目列入项目支出绩效目标。如：技师学院2022年执行的项目还包括数控机床装配与维修专业建设项目、计算机辅助设计与制造专业建设项目、汽车钣金与涂装专业建设等项目未申报项目绩效目标及信息公开。</w:t>
      </w:r>
    </w:p>
    <w:p w14:paraId="5F68B070">
      <w:pPr>
        <w:pStyle w:val="8"/>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snapToGrid w:val="0"/>
          <w:color w:val="auto"/>
          <w:kern w:val="0"/>
          <w:sz w:val="32"/>
          <w:szCs w:val="32"/>
          <w:highlight w:val="none"/>
          <w:lang w:val="en-US" w:eastAsia="zh-CN"/>
        </w:rPr>
      </w:pPr>
      <w:r>
        <w:rPr>
          <w:rFonts w:hint="default" w:ascii="Times New Roman" w:hAnsi="Times New Roman" w:eastAsia="仿宋_GB2312" w:cs="Times New Roman"/>
          <w:b/>
          <w:bCs/>
          <w:snapToGrid w:val="0"/>
          <w:color w:val="auto"/>
          <w:kern w:val="0"/>
          <w:sz w:val="32"/>
          <w:szCs w:val="32"/>
          <w:highlight w:val="none"/>
          <w:lang w:val="en-US" w:eastAsia="zh-CN"/>
        </w:rPr>
        <w:t>3.项目支出预决算编制口径不一致</w:t>
      </w:r>
    </w:p>
    <w:p w14:paraId="4BDEEEEC">
      <w:pPr>
        <w:pStyle w:val="8"/>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val="en-US" w:eastAsia="zh-CN"/>
        </w:rPr>
        <w:t>2022年初编制3个项目支出的预算分别是教学实训和学生管理经费4,022.15万元，学院建设和发展支出4,400.00万元，债务利息支出1900.00万元，共计10,322.15万元。决算项目支出为3,480.68万元，决算报表的项目为公共实训基地配套设施1,996.34万元、高技能人才项目建设2.58万元、高技能数控项目438.57万元、公共实训基地光电技术596.61万元、利息446.57万元，预决算项目名称、内容、支出范围均不一致。预算项目设置年度变动较大，2021年教学实训和学生管理经费列入学院预算基本支出，2022年度列入项目支出，2023年度列入基本支出，预算项目前后一致性有待加强。</w:t>
      </w:r>
    </w:p>
    <w:p w14:paraId="6963D569">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snapToGrid w:val="0"/>
          <w:color w:val="auto"/>
          <w:kern w:val="0"/>
          <w:sz w:val="32"/>
          <w:szCs w:val="32"/>
          <w:highlight w:val="none"/>
          <w:lang w:val="en-US" w:eastAsia="zh-CN"/>
        </w:rPr>
      </w:pPr>
      <w:r>
        <w:rPr>
          <w:rFonts w:hint="default" w:ascii="Times New Roman" w:hAnsi="Times New Roman" w:eastAsia="仿宋_GB2312" w:cs="Times New Roman"/>
          <w:b/>
          <w:bCs/>
          <w:snapToGrid w:val="0"/>
          <w:color w:val="auto"/>
          <w:kern w:val="0"/>
          <w:sz w:val="32"/>
          <w:szCs w:val="32"/>
          <w:highlight w:val="none"/>
          <w:lang w:val="en-US" w:eastAsia="zh-CN"/>
        </w:rPr>
        <w:t>4.决算数据与实际情况不符</w:t>
      </w:r>
    </w:p>
    <w:p w14:paraId="36B1A0DF">
      <w:pPr>
        <w:keepNext w:val="0"/>
        <w:keepLines w:val="0"/>
        <w:pageBreakBefore w:val="0"/>
        <w:widowControl w:val="0"/>
        <w:kinsoku/>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bCs/>
          <w:snapToGrid w:val="0"/>
          <w:color w:val="auto"/>
          <w:kern w:val="0"/>
          <w:sz w:val="32"/>
          <w:szCs w:val="32"/>
          <w:highlight w:val="none"/>
          <w:lang w:val="en-US" w:eastAsia="zh-CN"/>
        </w:rPr>
        <w:t>一是</w:t>
      </w:r>
      <w:r>
        <w:rPr>
          <w:rFonts w:hint="default" w:ascii="Times New Roman" w:hAnsi="Times New Roman" w:eastAsia="仿宋_GB2312" w:cs="Times New Roman"/>
          <w:b w:val="0"/>
          <w:bCs w:val="0"/>
          <w:snapToGrid w:val="0"/>
          <w:color w:val="auto"/>
          <w:kern w:val="0"/>
          <w:sz w:val="32"/>
          <w:szCs w:val="32"/>
          <w:highlight w:val="none"/>
          <w:lang w:val="en-US" w:eastAsia="zh-CN"/>
        </w:rPr>
        <w:t>技师学院2022年决算报表显示，2022年整体支出全年预算数为19,550.14万元。根据财政拨款指标获知，2022年实际整体支出全年预算数为23,087.38万元，决算数为19,550.14万元，结转和结余3,537.24万元（结余资金已被年底收回），其资金全部为项目资金。经了解得知，差异原因主要系决算报表中收入数据以支出数据为准（以支定收）；</w:t>
      </w:r>
      <w:r>
        <w:rPr>
          <w:rFonts w:hint="default" w:ascii="Times New Roman" w:hAnsi="Times New Roman" w:eastAsia="仿宋_GB2312" w:cs="Times New Roman"/>
          <w:b/>
          <w:bCs/>
          <w:snapToGrid w:val="0"/>
          <w:color w:val="auto"/>
          <w:kern w:val="0"/>
          <w:sz w:val="32"/>
          <w:szCs w:val="32"/>
          <w:highlight w:val="none"/>
          <w:lang w:val="en-US" w:eastAsia="zh-CN"/>
        </w:rPr>
        <w:t>二是</w:t>
      </w:r>
      <w:r>
        <w:rPr>
          <w:rFonts w:hint="default" w:ascii="Times New Roman" w:hAnsi="Times New Roman" w:eastAsia="仿宋_GB2312" w:cs="Times New Roman"/>
          <w:b w:val="0"/>
          <w:bCs w:val="0"/>
          <w:snapToGrid w:val="0"/>
          <w:color w:val="auto"/>
          <w:kern w:val="0"/>
          <w:sz w:val="32"/>
          <w:szCs w:val="32"/>
          <w:highlight w:val="none"/>
          <w:lang w:val="en-US" w:eastAsia="zh-CN"/>
        </w:rPr>
        <w:t>预决算内容前后不一。专项债未纳入预算，决算报表又反映专项债项目支出</w:t>
      </w:r>
      <w:r>
        <w:rPr>
          <w:rFonts w:hint="default" w:ascii="Times New Roman" w:hAnsi="Times New Roman" w:eastAsia="仿宋_GB2312" w:cs="Times New Roman"/>
          <w:color w:val="auto"/>
          <w:sz w:val="32"/>
          <w:szCs w:val="32"/>
          <w:highlight w:val="none"/>
          <w:lang w:val="en-US" w:eastAsia="zh-CN"/>
        </w:rPr>
        <w:t>3,034.11万</w:t>
      </w:r>
      <w:r>
        <w:rPr>
          <w:rFonts w:hint="default" w:ascii="Times New Roman" w:hAnsi="Times New Roman" w:eastAsia="仿宋_GB2312" w:cs="Times New Roman"/>
          <w:b w:val="0"/>
          <w:bCs w:val="0"/>
          <w:snapToGrid w:val="0"/>
          <w:color w:val="auto"/>
          <w:kern w:val="0"/>
          <w:sz w:val="32"/>
          <w:szCs w:val="32"/>
          <w:highlight w:val="none"/>
          <w:lang w:val="en-US" w:eastAsia="zh-CN"/>
        </w:rPr>
        <w:t>元；</w:t>
      </w:r>
      <w:r>
        <w:rPr>
          <w:rFonts w:hint="default" w:ascii="Times New Roman" w:hAnsi="Times New Roman" w:eastAsia="仿宋_GB2312" w:cs="Times New Roman"/>
          <w:b/>
          <w:bCs/>
          <w:snapToGrid w:val="0"/>
          <w:color w:val="auto"/>
          <w:kern w:val="0"/>
          <w:sz w:val="32"/>
          <w:szCs w:val="32"/>
          <w:highlight w:val="none"/>
          <w:lang w:val="en-US" w:eastAsia="zh-CN"/>
        </w:rPr>
        <w:t>三是</w:t>
      </w:r>
      <w:r>
        <w:rPr>
          <w:rFonts w:hint="default" w:ascii="Times New Roman" w:hAnsi="Times New Roman" w:eastAsia="仿宋_GB2312" w:cs="Times New Roman"/>
          <w:b w:val="0"/>
          <w:bCs w:val="0"/>
          <w:snapToGrid w:val="0"/>
          <w:color w:val="auto"/>
          <w:kern w:val="0"/>
          <w:sz w:val="32"/>
          <w:szCs w:val="32"/>
          <w:highlight w:val="none"/>
          <w:lang w:val="en-US" w:eastAsia="zh-CN"/>
        </w:rPr>
        <w:t>预算利息支出1900万元，决算利息支出446.57万元，实际利息支出1,</w:t>
      </w:r>
      <w:r>
        <w:rPr>
          <w:rFonts w:hint="default" w:ascii="Times New Roman" w:hAnsi="Times New Roman" w:eastAsia="仿宋_GB2312" w:cs="Times New Roman"/>
          <w:color w:val="auto"/>
          <w:sz w:val="32"/>
          <w:szCs w:val="32"/>
          <w:highlight w:val="none"/>
          <w:lang w:val="en-US" w:eastAsia="zh-CN"/>
        </w:rPr>
        <w:t>622.67万元，决算未反映利息支出1,176.10万元；</w:t>
      </w:r>
      <w:r>
        <w:rPr>
          <w:rFonts w:hint="default" w:ascii="Times New Roman" w:hAnsi="Times New Roman" w:eastAsia="仿宋_GB2312" w:cs="Times New Roman"/>
          <w:b/>
          <w:bCs/>
          <w:color w:val="auto"/>
          <w:sz w:val="32"/>
          <w:szCs w:val="32"/>
          <w:highlight w:val="none"/>
          <w:lang w:val="en-US" w:eastAsia="zh-CN"/>
        </w:rPr>
        <w:t>四是</w:t>
      </w:r>
      <w:r>
        <w:rPr>
          <w:rFonts w:hint="default" w:ascii="Times New Roman" w:hAnsi="Times New Roman" w:eastAsia="仿宋_GB2312" w:cs="Times New Roman"/>
          <w:color w:val="auto"/>
          <w:sz w:val="32"/>
          <w:szCs w:val="32"/>
          <w:highlight w:val="none"/>
          <w:lang w:val="en-US" w:eastAsia="zh-CN"/>
        </w:rPr>
        <w:t>决算项目设置不合理，仅为了预决算收支平衡堆砌而成，每个项目都含有一部分利息支出。如决算公共实训基地配套设施项目支出2,194.01万元包含利息支出197.67万元</w:t>
      </w:r>
      <w:r>
        <w:rPr>
          <w:rFonts w:hint="default" w:ascii="Times New Roman" w:hAnsi="Times New Roman" w:eastAsia="仿宋_GB2312" w:cs="Times New Roman"/>
          <w:b w:val="0"/>
          <w:bCs w:val="0"/>
          <w:snapToGrid w:val="0"/>
          <w:color w:val="auto"/>
          <w:kern w:val="0"/>
          <w:sz w:val="32"/>
          <w:szCs w:val="32"/>
          <w:highlight w:val="none"/>
          <w:lang w:val="en-US" w:eastAsia="zh-CN"/>
        </w:rPr>
        <w:t>；</w:t>
      </w:r>
      <w:r>
        <w:rPr>
          <w:rFonts w:hint="default" w:ascii="Times New Roman" w:hAnsi="Times New Roman" w:eastAsia="仿宋_GB2312" w:cs="Times New Roman"/>
          <w:b/>
          <w:bCs/>
          <w:snapToGrid w:val="0"/>
          <w:color w:val="auto"/>
          <w:kern w:val="0"/>
          <w:sz w:val="32"/>
          <w:szCs w:val="32"/>
          <w:highlight w:val="none"/>
          <w:lang w:val="en-US" w:eastAsia="zh-CN"/>
        </w:rPr>
        <w:t>五是</w:t>
      </w:r>
      <w:r>
        <w:rPr>
          <w:rFonts w:hint="default" w:ascii="Times New Roman" w:hAnsi="Times New Roman" w:eastAsia="仿宋_GB2312" w:cs="Times New Roman"/>
          <w:color w:val="auto"/>
          <w:sz w:val="32"/>
          <w:szCs w:val="32"/>
          <w:highlight w:val="none"/>
          <w:lang w:val="en-US" w:eastAsia="zh-CN"/>
        </w:rPr>
        <w:t>实际偿</w:t>
      </w:r>
      <w:r>
        <w:rPr>
          <w:rFonts w:hint="default" w:ascii="Times New Roman" w:hAnsi="Times New Roman" w:eastAsia="仿宋_GB2312" w:cs="Times New Roman"/>
          <w:b w:val="0"/>
          <w:bCs w:val="0"/>
          <w:snapToGrid w:val="0"/>
          <w:color w:val="auto"/>
          <w:kern w:val="0"/>
          <w:sz w:val="32"/>
          <w:szCs w:val="32"/>
          <w:highlight w:val="none"/>
          <w:lang w:val="en-US" w:eastAsia="zh-CN"/>
        </w:rPr>
        <w:t>还银行贷款本金448.43万元，决算中没有反应。</w:t>
      </w:r>
    </w:p>
    <w:p w14:paraId="5DDA8734">
      <w:pPr>
        <w:keepNext w:val="0"/>
        <w:keepLines w:val="0"/>
        <w:pageBreakBefore w:val="0"/>
        <w:widowControl w:val="0"/>
        <w:numPr>
          <w:ilvl w:val="0"/>
          <w:numId w:val="2"/>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固定资产管理基础工作待夯实</w:t>
      </w:r>
    </w:p>
    <w:p w14:paraId="39E465B8">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一是</w:t>
      </w:r>
      <w:r>
        <w:rPr>
          <w:rFonts w:hint="default" w:ascii="Times New Roman" w:hAnsi="Times New Roman" w:eastAsia="仿宋_GB2312" w:cs="Times New Roman"/>
          <w:b w:val="0"/>
          <w:bCs w:val="0"/>
          <w:color w:val="auto"/>
          <w:sz w:val="32"/>
          <w:szCs w:val="32"/>
          <w:highlight w:val="none"/>
          <w:lang w:val="en-US" w:eastAsia="zh-CN"/>
        </w:rPr>
        <w:t>大多数固定资产未贴标，由于学校部门调整，人员变动和资产存放地点发生变更，固定资产台账也未及时更新，导致实际盘点时无法与固定资产系统数据进行有效匹配，没有及时登记固定资产变动情况，账实不符。</w:t>
      </w:r>
      <w:r>
        <w:rPr>
          <w:rFonts w:hint="default" w:ascii="Times New Roman" w:hAnsi="Times New Roman" w:eastAsia="仿宋_GB2312" w:cs="Times New Roman"/>
          <w:b/>
          <w:bCs/>
          <w:color w:val="auto"/>
          <w:sz w:val="32"/>
          <w:szCs w:val="32"/>
          <w:highlight w:val="none"/>
          <w:lang w:val="en-US" w:eastAsia="zh-CN"/>
        </w:rPr>
        <w:t>二是</w:t>
      </w:r>
      <w:r>
        <w:rPr>
          <w:rFonts w:hint="default" w:ascii="Times New Roman" w:hAnsi="Times New Roman" w:eastAsia="仿宋_GB2312" w:cs="Times New Roman"/>
          <w:b w:val="0"/>
          <w:bCs w:val="0"/>
          <w:color w:val="auto"/>
          <w:sz w:val="32"/>
          <w:szCs w:val="32"/>
          <w:highlight w:val="none"/>
          <w:lang w:val="en-US" w:eastAsia="zh-CN"/>
        </w:rPr>
        <w:t>未完成2022年固定资产全面清查盘点工作，盘点结果未出，未见2022年财产清查报告。</w:t>
      </w:r>
    </w:p>
    <w:p w14:paraId="5BECE746">
      <w:pPr>
        <w:keepNext w:val="0"/>
        <w:keepLines w:val="0"/>
        <w:pageBreakBefore w:val="0"/>
        <w:widowControl/>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（五）部分项目资金使用不规范</w:t>
      </w:r>
    </w:p>
    <w:p w14:paraId="0B3F69D0">
      <w:pPr>
        <w:keepNext w:val="0"/>
        <w:keepLines w:val="0"/>
        <w:pageBreakBefore w:val="0"/>
        <w:widowControl w:val="0"/>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1.部分项目资金使用界限不清晰</w:t>
      </w:r>
    </w:p>
    <w:p w14:paraId="1AFBB84A">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经核查，技师学院公用经费、人员经费与项目经费统筹使用，资金使用未严格按照项目的支出范围执行。绩效评价小组现场抽查项目资金支付会计凭证，发现部分项目支出账务处理不规范，会计科目为“基本支出-日常公用经费”“基本支出-人员经费”，但实际经费使用是从相对应的项目指标中支出。</w:t>
      </w:r>
    </w:p>
    <w:p w14:paraId="7CF45EEA">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2.部分项目支出不合规</w:t>
      </w:r>
    </w:p>
    <w:p w14:paraId="0843EFB7">
      <w:pPr>
        <w:keepNext w:val="0"/>
        <w:keepLines w:val="0"/>
        <w:pageBreakBefore w:val="0"/>
        <w:widowControl w:val="0"/>
        <w:numPr>
          <w:ilvl w:val="0"/>
          <w:numId w:val="0"/>
        </w:numPr>
        <w:kinsoku w:val="0"/>
        <w:wordWrap/>
        <w:overflowPunct/>
        <w:topLinePunct/>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一是专项债资金不得用于经常性支出，只能用于资本性支出。</w:t>
      </w:r>
      <w:r>
        <w:rPr>
          <w:rFonts w:hint="default" w:ascii="Times New Roman" w:hAnsi="Times New Roman" w:eastAsia="仿宋_GB2312" w:cs="Times New Roman"/>
          <w:b w:val="0"/>
          <w:bCs w:val="0"/>
          <w:color w:val="auto"/>
          <w:sz w:val="32"/>
          <w:szCs w:val="32"/>
          <w:highlight w:val="none"/>
          <w:lang w:val="en-US" w:eastAsia="zh-CN"/>
        </w:rPr>
        <w:t>如：2022年7月记账94付公共实训基地电梯年检费4,022.00元，2022年12月记账341付集美图文数码快印中心扫描装订费1,677.00元,用于了公共实训基地的经常性支出；</w:t>
      </w:r>
    </w:p>
    <w:p w14:paraId="1223399B">
      <w:pPr>
        <w:keepNext w:val="0"/>
        <w:keepLines w:val="0"/>
        <w:pageBreakBefore w:val="0"/>
        <w:widowControl w:val="0"/>
        <w:numPr>
          <w:ilvl w:val="0"/>
          <w:numId w:val="0"/>
        </w:numPr>
        <w:kinsoku w:val="0"/>
        <w:wordWrap/>
        <w:overflowPunct/>
        <w:topLinePunct/>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二是未严格实行收支两条线管理</w:t>
      </w:r>
      <w:r>
        <w:rPr>
          <w:rFonts w:hint="default" w:ascii="Times New Roman" w:hAnsi="Times New Roman" w:eastAsia="仿宋_GB2312" w:cs="Times New Roman"/>
          <w:b w:val="0"/>
          <w:bCs w:val="0"/>
          <w:color w:val="auto"/>
          <w:sz w:val="32"/>
          <w:szCs w:val="32"/>
          <w:highlight w:val="none"/>
          <w:lang w:val="en-US" w:eastAsia="zh-CN"/>
        </w:rPr>
        <w:t>。部分租金资金转入财政其他资金户，未及时</w:t>
      </w:r>
      <w:r>
        <w:rPr>
          <w:rFonts w:hint="eastAsia" w:ascii="Times New Roman" w:hAnsi="Times New Roman" w:eastAsia="仿宋_GB2312" w:cs="Times New Roman"/>
          <w:b w:val="0"/>
          <w:bCs w:val="0"/>
          <w:color w:val="auto"/>
          <w:sz w:val="32"/>
          <w:szCs w:val="32"/>
          <w:highlight w:val="none"/>
          <w:lang w:val="en-US" w:eastAsia="zh-CN"/>
        </w:rPr>
        <w:t>上缴财政</w:t>
      </w:r>
      <w:r>
        <w:rPr>
          <w:rFonts w:hint="default" w:ascii="Times New Roman" w:hAnsi="Times New Roman" w:eastAsia="仿宋_GB2312" w:cs="Times New Roman"/>
          <w:b w:val="0"/>
          <w:bCs w:val="0"/>
          <w:color w:val="auto"/>
          <w:sz w:val="32"/>
          <w:szCs w:val="32"/>
          <w:highlight w:val="none"/>
          <w:lang w:val="en-US" w:eastAsia="zh-CN"/>
        </w:rPr>
        <w:t>非税收入户头。如：清华园租金收入60万元，列入应缴财政款科目核算，未及时</w:t>
      </w:r>
      <w:r>
        <w:rPr>
          <w:rFonts w:hint="eastAsia" w:ascii="Times New Roman" w:hAnsi="Times New Roman" w:eastAsia="仿宋_GB2312" w:cs="Times New Roman"/>
          <w:b w:val="0"/>
          <w:bCs w:val="0"/>
          <w:color w:val="auto"/>
          <w:sz w:val="32"/>
          <w:szCs w:val="32"/>
          <w:highlight w:val="none"/>
          <w:lang w:val="en-US" w:eastAsia="zh-CN"/>
        </w:rPr>
        <w:t>上缴财政</w:t>
      </w:r>
      <w:r>
        <w:rPr>
          <w:rFonts w:hint="default" w:ascii="Times New Roman" w:hAnsi="Times New Roman" w:eastAsia="仿宋_GB2312" w:cs="Times New Roman"/>
          <w:b w:val="0"/>
          <w:bCs w:val="0"/>
          <w:color w:val="auto"/>
          <w:sz w:val="32"/>
          <w:szCs w:val="32"/>
          <w:highlight w:val="none"/>
          <w:lang w:val="en-US" w:eastAsia="zh-CN"/>
        </w:rPr>
        <w:t>非税收入户头。</w:t>
      </w:r>
    </w:p>
    <w:p w14:paraId="5D2D8EA8">
      <w:pPr>
        <w:keepNext w:val="0"/>
        <w:keepLines w:val="0"/>
        <w:pageBreakBefore w:val="0"/>
        <w:widowControl w:val="0"/>
        <w:numPr>
          <w:ilvl w:val="0"/>
          <w:numId w:val="0"/>
        </w:numPr>
        <w:kinsoku w:val="0"/>
        <w:wordWrap/>
        <w:overflowPunct/>
        <w:topLinePunct/>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3.部分项目专账管理与核算不规范</w:t>
      </w:r>
    </w:p>
    <w:p w14:paraId="02590AB3">
      <w:pPr>
        <w:keepNext w:val="0"/>
        <w:keepLines w:val="0"/>
        <w:pageBreakBefore w:val="0"/>
        <w:widowControl w:val="0"/>
        <w:numPr>
          <w:ilvl w:val="0"/>
          <w:numId w:val="0"/>
        </w:numPr>
        <w:kinsoku w:val="0"/>
        <w:wordWrap/>
        <w:overflowPunct/>
        <w:topLinePunct/>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一是</w:t>
      </w:r>
      <w:r>
        <w:rPr>
          <w:rFonts w:hint="default" w:ascii="Times New Roman" w:hAnsi="Times New Roman" w:eastAsia="仿宋_GB2312" w:cs="Times New Roman"/>
          <w:b w:val="0"/>
          <w:bCs w:val="0"/>
          <w:color w:val="auto"/>
          <w:sz w:val="32"/>
          <w:szCs w:val="32"/>
          <w:highlight w:val="none"/>
          <w:lang w:val="en-US" w:eastAsia="zh-CN"/>
        </w:rPr>
        <w:t xml:space="preserve">年初预算设置的教学实训和学生管理经费项目、学院建设和发展支出项目、债务利息支出项目均未进行专账管理和核算。如债务利息支出项目预算1,900.00万元，决算报表显示债务利息支出446.57万元，实际利息支出1,622.48万元，有1,175.91万元利息支出没有在决算报表中予以反映； </w:t>
      </w:r>
    </w:p>
    <w:p w14:paraId="11AF49B8">
      <w:pPr>
        <w:keepNext w:val="0"/>
        <w:keepLines w:val="0"/>
        <w:pageBreakBefore w:val="0"/>
        <w:widowControl w:val="0"/>
        <w:numPr>
          <w:ilvl w:val="0"/>
          <w:numId w:val="0"/>
        </w:numPr>
        <w:kinsoku w:val="0"/>
        <w:wordWrap/>
        <w:overflowPunct/>
        <w:topLinePunct/>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二是</w:t>
      </w:r>
      <w:r>
        <w:rPr>
          <w:rFonts w:hint="default" w:ascii="Times New Roman" w:hAnsi="Times New Roman" w:eastAsia="仿宋_GB2312" w:cs="Times New Roman"/>
          <w:b w:val="0"/>
          <w:bCs w:val="0"/>
          <w:color w:val="auto"/>
          <w:sz w:val="32"/>
          <w:szCs w:val="32"/>
          <w:highlight w:val="none"/>
          <w:lang w:val="en-US" w:eastAsia="zh-CN"/>
        </w:rPr>
        <w:t>决算的项目支出也未进行专账管理和核算，项目的设置不科学严谨，无立项依据、无必要的论证与决策程序，项目设置随意性大。如：决算报表科目名称(二级项目名称)利息70.00万元；</w:t>
      </w:r>
    </w:p>
    <w:p w14:paraId="255D16A8">
      <w:pPr>
        <w:keepNext w:val="0"/>
        <w:keepLines w:val="0"/>
        <w:pageBreakBefore w:val="0"/>
        <w:widowControl w:val="0"/>
        <w:numPr>
          <w:ilvl w:val="0"/>
          <w:numId w:val="0"/>
        </w:numPr>
        <w:kinsoku w:val="0"/>
        <w:wordWrap/>
        <w:overflowPunct/>
        <w:topLinePunct/>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三是“</w:t>
      </w:r>
      <w:r>
        <w:rPr>
          <w:rFonts w:hint="default" w:ascii="Times New Roman" w:hAnsi="Times New Roman" w:eastAsia="仿宋_GB2312" w:cs="Times New Roman"/>
          <w:b w:val="0"/>
          <w:bCs w:val="0"/>
          <w:color w:val="auto"/>
          <w:sz w:val="32"/>
          <w:szCs w:val="32"/>
          <w:highlight w:val="none"/>
          <w:lang w:val="en-US" w:eastAsia="zh-CN"/>
        </w:rPr>
        <w:t>衡阳市公共实训基地”专项债项目建设期专账核算不完整，缺少设备投资的内容、金额等信息，未能全面反映项目总投资状况、已付金额和剩余未付金额，不利于财务监督和成本管控。项目运营期未专账管理和核算与项目直接相关的收入、付现成本以及产生的收益，难以精准衡量偿还专项债本金及利息的能力、财务生存能力。</w:t>
      </w:r>
    </w:p>
    <w:p w14:paraId="42333654">
      <w:pPr>
        <w:keepNext w:val="0"/>
        <w:keepLines w:val="0"/>
        <w:pageBreakBefore w:val="0"/>
        <w:widowControl/>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（六）专项债项目管理欠规范，建设效果低于逾期</w:t>
      </w:r>
    </w:p>
    <w:p w14:paraId="254A9469">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1.资金支出进度慢，造成闲置资金未产生效益</w:t>
      </w:r>
    </w:p>
    <w:p w14:paraId="5EB0C6E5">
      <w:pPr>
        <w:keepNext w:val="0"/>
        <w:keepLines w:val="0"/>
        <w:pageBreakBefore w:val="0"/>
        <w:widowControl w:val="0"/>
        <w:numPr>
          <w:ilvl w:val="0"/>
          <w:numId w:val="0"/>
        </w:numPr>
        <w:kinsoku/>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“衡阳市公共实训基地”项目专项债券投入资金0.80亿元，原计划2021年12月完成</w:t>
      </w:r>
      <w:r>
        <w:rPr>
          <w:rFonts w:hint="default" w:ascii="Times New Roman" w:hAnsi="Times New Roman" w:eastAsia="仿宋_GB2312" w:cs="Times New Roman"/>
          <w:b w:val="0"/>
          <w:bCs w:val="0"/>
          <w:snapToGrid w:val="0"/>
          <w:color w:val="auto"/>
          <w:kern w:val="0"/>
          <w:sz w:val="32"/>
          <w:szCs w:val="32"/>
          <w:highlight w:val="none"/>
          <w:lang w:val="en-US" w:eastAsia="zh-CN"/>
        </w:rPr>
        <w:t>专项债资金</w:t>
      </w:r>
      <w:r>
        <w:rPr>
          <w:rFonts w:hint="default" w:ascii="Times New Roman" w:hAnsi="Times New Roman" w:eastAsia="仿宋_GB2312" w:cs="Times New Roman"/>
          <w:b w:val="0"/>
          <w:bCs w:val="0"/>
          <w:color w:val="auto"/>
          <w:sz w:val="32"/>
          <w:szCs w:val="32"/>
          <w:highlight w:val="none"/>
          <w:lang w:val="en-US" w:eastAsia="zh-CN"/>
        </w:rPr>
        <w:t>投入，</w:t>
      </w:r>
      <w:r>
        <w:rPr>
          <w:rFonts w:hint="eastAsia" w:ascii="Times New Roman" w:hAnsi="Times New Roman" w:eastAsia="仿宋_GB2312" w:cs="Times New Roman"/>
          <w:b w:val="0"/>
          <w:bCs w:val="0"/>
          <w:snapToGrid w:val="0"/>
          <w:color w:val="auto"/>
          <w:kern w:val="0"/>
          <w:sz w:val="32"/>
          <w:szCs w:val="32"/>
          <w:highlight w:val="none"/>
          <w:lang w:val="en-US" w:eastAsia="zh-CN"/>
        </w:rPr>
        <w:t>截至</w:t>
      </w:r>
      <w:r>
        <w:rPr>
          <w:rFonts w:hint="default" w:ascii="Times New Roman" w:hAnsi="Times New Roman" w:eastAsia="仿宋_GB2312" w:cs="Times New Roman"/>
          <w:b w:val="0"/>
          <w:bCs w:val="0"/>
          <w:snapToGrid w:val="0"/>
          <w:color w:val="auto"/>
          <w:kern w:val="0"/>
          <w:sz w:val="32"/>
          <w:szCs w:val="32"/>
          <w:highlight w:val="none"/>
          <w:lang w:val="en-US" w:eastAsia="zh-CN"/>
        </w:rPr>
        <w:t>2023年3月31日，实际支出6,005.82万元，预算执行率75.07%。“衡阳技师学院高技能人才培训基地配套设施”项目专项债资金11,600.00万元，</w:t>
      </w:r>
      <w:r>
        <w:rPr>
          <w:rFonts w:hint="default" w:ascii="Times New Roman" w:hAnsi="Times New Roman" w:eastAsia="仿宋_GB2312" w:cs="Times New Roman"/>
          <w:b w:val="0"/>
          <w:bCs w:val="0"/>
          <w:color w:val="auto"/>
          <w:sz w:val="32"/>
          <w:szCs w:val="32"/>
          <w:highlight w:val="none"/>
          <w:lang w:val="en-US" w:eastAsia="zh-CN"/>
        </w:rPr>
        <w:t>原计划2022年12月完成</w:t>
      </w:r>
      <w:r>
        <w:rPr>
          <w:rFonts w:hint="default" w:ascii="Times New Roman" w:hAnsi="Times New Roman" w:eastAsia="仿宋_GB2312" w:cs="Times New Roman"/>
          <w:b w:val="0"/>
          <w:bCs w:val="0"/>
          <w:snapToGrid w:val="0"/>
          <w:color w:val="auto"/>
          <w:kern w:val="0"/>
          <w:sz w:val="32"/>
          <w:szCs w:val="32"/>
          <w:highlight w:val="none"/>
          <w:lang w:val="en-US" w:eastAsia="zh-CN"/>
        </w:rPr>
        <w:t>专项债资金</w:t>
      </w:r>
      <w:r>
        <w:rPr>
          <w:rFonts w:hint="default" w:ascii="Times New Roman" w:hAnsi="Times New Roman" w:eastAsia="仿宋_GB2312" w:cs="Times New Roman"/>
          <w:b w:val="0"/>
          <w:bCs w:val="0"/>
          <w:color w:val="auto"/>
          <w:sz w:val="32"/>
          <w:szCs w:val="32"/>
          <w:highlight w:val="none"/>
          <w:lang w:val="en-US" w:eastAsia="zh-CN"/>
        </w:rPr>
        <w:t>投入，</w:t>
      </w:r>
      <w:r>
        <w:rPr>
          <w:rFonts w:hint="eastAsia" w:ascii="Times New Roman" w:hAnsi="Times New Roman" w:eastAsia="仿宋_GB2312" w:cs="Times New Roman"/>
          <w:b w:val="0"/>
          <w:bCs w:val="0"/>
          <w:snapToGrid w:val="0"/>
          <w:color w:val="auto"/>
          <w:kern w:val="0"/>
          <w:sz w:val="32"/>
          <w:szCs w:val="32"/>
          <w:highlight w:val="none"/>
          <w:lang w:val="en-US" w:eastAsia="zh-CN"/>
        </w:rPr>
        <w:t>截至</w:t>
      </w:r>
      <w:r>
        <w:rPr>
          <w:rFonts w:hint="default" w:ascii="Times New Roman" w:hAnsi="Times New Roman" w:eastAsia="仿宋_GB2312" w:cs="Times New Roman"/>
          <w:b w:val="0"/>
          <w:bCs w:val="0"/>
          <w:snapToGrid w:val="0"/>
          <w:color w:val="auto"/>
          <w:kern w:val="0"/>
          <w:sz w:val="32"/>
          <w:szCs w:val="32"/>
          <w:highlight w:val="none"/>
          <w:lang w:val="en-US" w:eastAsia="zh-CN"/>
        </w:rPr>
        <w:t>2023年3月31日，实际支出265.14万元，预算执行率仅2.29%，预算执行率极低，专项债券资金沉淀，未能及时发挥效益。</w:t>
      </w:r>
    </w:p>
    <w:p w14:paraId="072B6ED5">
      <w:pPr>
        <w:keepNext w:val="0"/>
        <w:keepLines w:val="0"/>
        <w:pageBreakBefore w:val="0"/>
        <w:widowControl w:val="0"/>
        <w:numPr>
          <w:ilvl w:val="0"/>
          <w:numId w:val="0"/>
        </w:numPr>
        <w:kinsoku/>
        <w:wordWrap w:val="0"/>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2.在建工程未及时转固定资产</w:t>
      </w:r>
    </w:p>
    <w:p w14:paraId="7DA246DF">
      <w:pPr>
        <w:keepNext w:val="0"/>
        <w:keepLines w:val="0"/>
        <w:pageBreakBefore w:val="0"/>
        <w:widowControl w:val="0"/>
        <w:numPr>
          <w:ilvl w:val="0"/>
          <w:numId w:val="0"/>
        </w:numPr>
        <w:kinsoku/>
        <w:wordWrap w:val="0"/>
        <w:overflowPunct w:val="0"/>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衡阳市公共实训基地”项目总占地面积为11200平方米，总建筑面积为37661.16平方米，新建1栋11层的框架结构建筑。项目预计总投资13,000.00万元（衡发改审〔2019〕37号），其中专项债资金8,000.00万元。项目于2021年6月竣工验收，截至评价日，公共实训基地实际已投入使用，累计投资11,509.15万元（不含设备投资），但未按规定及时办理竣工决算，未转为固定资产。以上行为不符合《行政事业性国有资产管理条例》第三十一条“各部门及其所属单位采用建设方式配置资产的，应当在建设项目竣工验收合格后及时办理资产交付手续，并在规定期限内办理竣工财务决算，期限最长不得超过1年。各部门及其所属单位对已交付但未办理竣工财务决算的建设项目，应当按照国家统一的会计制度确认资产价值”。</w:t>
      </w:r>
    </w:p>
    <w:p w14:paraId="3B60A622">
      <w:pPr>
        <w:keepNext w:val="0"/>
        <w:keepLines w:val="0"/>
        <w:pageBreakBefore w:val="0"/>
        <w:widowControl w:val="0"/>
        <w:numPr>
          <w:ilvl w:val="0"/>
          <w:numId w:val="0"/>
        </w:numPr>
        <w:kinsoku w:val="0"/>
        <w:wordWrap/>
        <w:overflowPunct/>
        <w:topLinePunct/>
        <w:autoSpaceDE/>
        <w:autoSpaceDN/>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3.项目支出边界不清晰，成本控制有效性不足</w:t>
      </w:r>
    </w:p>
    <w:p w14:paraId="36EAEB19">
      <w:pPr>
        <w:keepNext w:val="0"/>
        <w:keepLines w:val="0"/>
        <w:pageBreakBefore w:val="0"/>
        <w:widowControl w:val="0"/>
        <w:numPr>
          <w:ilvl w:val="0"/>
          <w:numId w:val="0"/>
        </w:numPr>
        <w:kinsoku w:val="0"/>
        <w:wordWrap/>
        <w:overflowPunct/>
        <w:topLinePunct/>
        <w:autoSpaceDE/>
        <w:autoSpaceDN/>
        <w:bidi w:val="0"/>
        <w:adjustRightInd/>
        <w:snapToGrid/>
        <w:spacing w:line="580" w:lineRule="exact"/>
        <w:ind w:leftChars="0" w:firstLine="640"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在项目实施过程中，技师学院缺乏成本控制意识，未建立起有效的成本控制机制，项目支出边界模糊，成本控制不佳。“衡阳市公共实训基地”项目概算为13,000.00万元，但实际总投资将超过15,000.00万元，截至2022年12月27日，设备采购与安装合同总价款已达到3,084.83万元（工程合同中的设备采购价款未纳入计算），超出了预期的设备采购价款2,500万元的23.29%，且技师学院还将根据自身需求追加购置实训设备。</w:t>
      </w:r>
    </w:p>
    <w:p w14:paraId="1E77BCF5">
      <w:pPr>
        <w:keepNext w:val="0"/>
        <w:keepLines w:val="0"/>
        <w:pageBreakBefore w:val="0"/>
        <w:widowControl w:val="0"/>
        <w:numPr>
          <w:ilvl w:val="0"/>
          <w:numId w:val="0"/>
        </w:numPr>
        <w:kinsoku w:val="0"/>
        <w:wordWrap/>
        <w:overflowPunct/>
        <w:topLinePunct/>
        <w:autoSpaceDE/>
        <w:autoSpaceDN/>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4.项目投后管理机制不明确，可持续盈利能力弱</w:t>
      </w:r>
    </w:p>
    <w:p w14:paraId="7D46512E">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一是</w:t>
      </w:r>
      <w:r>
        <w:rPr>
          <w:rFonts w:hint="default" w:ascii="Times New Roman" w:hAnsi="Times New Roman" w:eastAsia="仿宋_GB2312" w:cs="Times New Roman"/>
          <w:b w:val="0"/>
          <w:bCs w:val="0"/>
          <w:color w:val="auto"/>
          <w:sz w:val="32"/>
          <w:szCs w:val="32"/>
          <w:highlight w:val="none"/>
          <w:lang w:val="en-US" w:eastAsia="zh-CN"/>
        </w:rPr>
        <w:t>地方政府专项债券项目普遍具有公益性，尤其是社会事业类专项债券项目公益性更强，项目单位对财政高度惯性依赖，缺乏盈利动力。</w:t>
      </w:r>
      <w:r>
        <w:rPr>
          <w:rFonts w:hint="default" w:ascii="Times New Roman" w:hAnsi="Times New Roman" w:eastAsia="仿宋_GB2312" w:cs="Times New Roman"/>
          <w:b/>
          <w:bCs/>
          <w:color w:val="auto"/>
          <w:sz w:val="32"/>
          <w:szCs w:val="32"/>
          <w:highlight w:val="none"/>
          <w:lang w:val="en-US" w:eastAsia="zh-CN"/>
        </w:rPr>
        <w:t>二是</w:t>
      </w:r>
      <w:r>
        <w:rPr>
          <w:rFonts w:hint="default" w:ascii="Times New Roman" w:hAnsi="Times New Roman" w:eastAsia="仿宋_GB2312" w:cs="Times New Roman"/>
          <w:b w:val="0"/>
          <w:bCs w:val="0"/>
          <w:color w:val="auto"/>
          <w:sz w:val="32"/>
          <w:szCs w:val="32"/>
          <w:highlight w:val="none"/>
          <w:lang w:val="en-US" w:eastAsia="zh-CN"/>
        </w:rPr>
        <w:t>项目普遍未建立有效的投后管理机制，盈利能力不足。项目当前收益计划主要为不能盈利的政策性培训，校企服务能力较弱。</w:t>
      </w:r>
    </w:p>
    <w:p w14:paraId="39EA7433">
      <w:pPr>
        <w:keepNext w:val="0"/>
        <w:keepLines w:val="0"/>
        <w:pageBreakBefore w:val="0"/>
        <w:widowControl w:val="0"/>
        <w:numPr>
          <w:ilvl w:val="0"/>
          <w:numId w:val="0"/>
        </w:numPr>
        <w:kinsoku w:val="0"/>
        <w:wordWrap/>
        <w:overflowPunct/>
        <w:topLinePunct/>
        <w:autoSpaceDE/>
        <w:autoSpaceDN/>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5.项目运营收益不能达到预测水平，难以保障还本付息</w:t>
      </w:r>
    </w:p>
    <w:p w14:paraId="5230B22E">
      <w:pPr>
        <w:keepNext w:val="0"/>
        <w:keepLines w:val="0"/>
        <w:pageBreakBefore w:val="0"/>
        <w:widowControl w:val="0"/>
        <w:numPr>
          <w:ilvl w:val="0"/>
          <w:numId w:val="0"/>
        </w:numPr>
        <w:kinsoku w:val="0"/>
        <w:wordWrap/>
        <w:overflowPunct/>
        <w:topLinePunct/>
        <w:autoSpaceDE/>
        <w:autoSpaceDN/>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衡阳市公共实训基地</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项目平衡方案对收益水平的预测过于乐观，投运项目不能达到收益自平衡预测水平。经衡阳技师学院汇总，2022年本项目运营产生的收入为1,056.13万元，仅为平衡方案预测的2022年收益4,430.40万元的23.84%。项目变动成本约为收入的60%即633.68万元，项目可以用来还本付息的收益仅为422.45万元，按此计算能够覆盖专项债的利息后所剩无几，项目收益难以覆盖专项债本金。</w:t>
      </w:r>
    </w:p>
    <w:p w14:paraId="3A84796F">
      <w:pPr>
        <w:keepNext w:val="0"/>
        <w:keepLines w:val="0"/>
        <w:pageBreakBefore w:val="0"/>
        <w:widowControl/>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七、相关建议</w:t>
      </w:r>
    </w:p>
    <w:p w14:paraId="408BEDBA">
      <w:pPr>
        <w:keepNext w:val="0"/>
        <w:keepLines w:val="0"/>
        <w:pageBreakBefore w:val="0"/>
        <w:widowControl/>
        <w:numPr>
          <w:ilvl w:val="0"/>
          <w:numId w:val="3"/>
        </w:numPr>
        <w:kinsoku w:val="0"/>
        <w:wordWrap/>
        <w:overflowPunct/>
        <w:topLinePunct w:val="0"/>
        <w:autoSpaceDE w:val="0"/>
        <w:autoSpaceDN w:val="0"/>
        <w:bidi w:val="0"/>
        <w:adjustRightInd/>
        <w:snapToGrid/>
        <w:spacing w:line="580" w:lineRule="exact"/>
        <w:ind w:left="0" w:leftChars="0" w:firstLine="643" w:firstLineChars="200"/>
        <w:jc w:val="both"/>
        <w:textAlignment w:val="baseline"/>
        <w:rPr>
          <w:rFonts w:hint="default" w:ascii="Times New Roman" w:hAnsi="Times New Roman" w:eastAsia="楷体_GB2312" w:cs="Times New Roman"/>
          <w:b/>
          <w:bCs w:val="0"/>
          <w:color w:val="auto"/>
          <w:sz w:val="32"/>
          <w:szCs w:val="32"/>
          <w:highlight w:val="none"/>
          <w:lang w:val="en-US" w:eastAsia="zh-CN"/>
        </w:rPr>
      </w:pPr>
      <w:r>
        <w:rPr>
          <w:rFonts w:hint="default" w:ascii="Times New Roman" w:hAnsi="Times New Roman" w:eastAsia="楷体_GB2312" w:cs="Times New Roman"/>
          <w:b/>
          <w:bCs w:val="0"/>
          <w:color w:val="auto"/>
          <w:sz w:val="32"/>
          <w:szCs w:val="32"/>
          <w:highlight w:val="none"/>
          <w:lang w:val="en-US" w:eastAsia="zh-CN"/>
        </w:rPr>
        <w:t>加强预算绩效管理体系建设，完善绩效目标管理</w:t>
      </w:r>
    </w:p>
    <w:p w14:paraId="64275F62">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一是</w:t>
      </w:r>
      <w:r>
        <w:rPr>
          <w:rFonts w:hint="default" w:ascii="Times New Roman" w:hAnsi="Times New Roman" w:eastAsia="仿宋_GB2312" w:cs="Times New Roman"/>
          <w:bCs/>
          <w:color w:val="auto"/>
          <w:sz w:val="32"/>
          <w:szCs w:val="32"/>
          <w:highlight w:val="none"/>
          <w:lang w:val="en-US" w:eastAsia="zh-CN"/>
        </w:rPr>
        <w:t>进一步完善技师学院预算绩效管理制度，围绕预算管理的主要内容和环节，完善涵盖绩效目标管理、绩效评价管理、评价结果应用等各环节的管理流程，制定出台预算绩效管理制度和实施细则。同时，加强绩效目标管理和研究，设置绩效目标需量化、全面，确保绩效目标完整反映部门整体支出情况，突出结果导向，重点考核实绩，切实提升项目管理水平，提高资金使用效率。</w:t>
      </w:r>
      <w:r>
        <w:rPr>
          <w:rFonts w:hint="default" w:ascii="Times New Roman" w:hAnsi="Times New Roman" w:eastAsia="仿宋_GB2312" w:cs="Times New Roman"/>
          <w:b/>
          <w:bCs w:val="0"/>
          <w:color w:val="auto"/>
          <w:sz w:val="32"/>
          <w:szCs w:val="32"/>
          <w:highlight w:val="none"/>
          <w:lang w:val="en-US" w:eastAsia="zh-CN"/>
        </w:rPr>
        <w:t>二是</w:t>
      </w:r>
      <w:r>
        <w:rPr>
          <w:rFonts w:hint="default" w:ascii="Times New Roman" w:hAnsi="Times New Roman" w:eastAsia="仿宋_GB2312" w:cs="Times New Roman"/>
          <w:bCs/>
          <w:color w:val="auto"/>
          <w:sz w:val="32"/>
          <w:szCs w:val="32"/>
          <w:highlight w:val="none"/>
          <w:lang w:val="en-US" w:eastAsia="zh-CN"/>
        </w:rPr>
        <w:t>加强宣传培训，提升各级人员绩效管理意识、树立正确的绩效管理理念；强化资金管理牵头部门、归口部门及建设部门的责任，提高参与度，促使技师学院绩效管理工作高效运行。</w:t>
      </w:r>
    </w:p>
    <w:p w14:paraId="2FF4AD0D">
      <w:pPr>
        <w:keepNext w:val="0"/>
        <w:keepLines w:val="0"/>
        <w:pageBreakBefore w:val="0"/>
        <w:widowControl/>
        <w:numPr>
          <w:ilvl w:val="0"/>
          <w:numId w:val="3"/>
        </w:numPr>
        <w:kinsoku w:val="0"/>
        <w:wordWrap/>
        <w:overflowPunct/>
        <w:topLinePunct w:val="0"/>
        <w:autoSpaceDE w:val="0"/>
        <w:autoSpaceDN w:val="0"/>
        <w:bidi w:val="0"/>
        <w:adjustRightInd/>
        <w:snapToGrid/>
        <w:spacing w:line="580" w:lineRule="exact"/>
        <w:ind w:left="0" w:leftChars="0" w:firstLine="643" w:firstLineChars="200"/>
        <w:jc w:val="both"/>
        <w:textAlignment w:val="baseline"/>
        <w:rPr>
          <w:rFonts w:hint="default" w:ascii="Times New Roman" w:hAnsi="Times New Roman" w:eastAsia="楷体_GB2312" w:cs="Times New Roman"/>
          <w:b/>
          <w:bCs w:val="0"/>
          <w:color w:val="auto"/>
          <w:sz w:val="32"/>
          <w:szCs w:val="32"/>
          <w:highlight w:val="none"/>
          <w:lang w:val="en-US" w:eastAsia="zh-CN"/>
        </w:rPr>
      </w:pPr>
      <w:r>
        <w:rPr>
          <w:rFonts w:hint="default" w:ascii="Times New Roman" w:hAnsi="Times New Roman" w:eastAsia="楷体_GB2312" w:cs="Times New Roman"/>
          <w:b/>
          <w:bCs w:val="0"/>
          <w:color w:val="auto"/>
          <w:sz w:val="32"/>
          <w:szCs w:val="32"/>
          <w:highlight w:val="none"/>
          <w:lang w:val="en-US" w:eastAsia="zh-CN"/>
        </w:rPr>
        <w:t xml:space="preserve">增强预算编制精细化管理，提高预算资金使用效益  </w:t>
      </w:r>
    </w:p>
    <w:p w14:paraId="52964D46">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一是</w:t>
      </w:r>
      <w:r>
        <w:rPr>
          <w:rFonts w:hint="default" w:ascii="Times New Roman" w:hAnsi="Times New Roman" w:eastAsia="仿宋_GB2312" w:cs="Times New Roman"/>
          <w:bCs/>
          <w:color w:val="auto"/>
          <w:sz w:val="32"/>
          <w:szCs w:val="32"/>
          <w:highlight w:val="none"/>
          <w:lang w:val="en-US" w:eastAsia="zh-CN"/>
        </w:rPr>
        <w:t>建立以项目为源头的预算管理机制，将项目作为预算管理的基本单元，全部预算支出都以项目形式纳入学校预算，实行项目库管理，坚持“先有项目后有预算”“资金跟着项目走”，未纳入项目库的项目一律不安排支出。</w:t>
      </w:r>
      <w:r>
        <w:rPr>
          <w:rFonts w:hint="default" w:ascii="Times New Roman" w:hAnsi="Times New Roman" w:eastAsia="仿宋_GB2312" w:cs="Times New Roman"/>
          <w:b/>
          <w:bCs w:val="0"/>
          <w:color w:val="auto"/>
          <w:sz w:val="32"/>
          <w:szCs w:val="32"/>
          <w:highlight w:val="none"/>
          <w:lang w:val="en-US" w:eastAsia="zh-CN"/>
        </w:rPr>
        <w:t>二是</w:t>
      </w:r>
      <w:r>
        <w:rPr>
          <w:rFonts w:hint="default" w:ascii="Times New Roman" w:hAnsi="Times New Roman" w:eastAsia="仿宋_GB2312" w:cs="Times New Roman"/>
          <w:bCs/>
          <w:color w:val="auto"/>
          <w:sz w:val="32"/>
          <w:szCs w:val="32"/>
          <w:highlight w:val="none"/>
          <w:lang w:val="en-US" w:eastAsia="zh-CN"/>
        </w:rPr>
        <w:t>部门编制年初预算要根据自身职能目标拟定，参考上年度预算执行情况、相关项目支出绩效评价结果和本年度的收支预测，按照规定程序多方征求意见后细化项目及具体的事项，提高预算编制工作精细程度。</w:t>
      </w:r>
      <w:r>
        <w:rPr>
          <w:rFonts w:hint="default" w:ascii="Times New Roman" w:hAnsi="Times New Roman" w:eastAsia="仿宋_GB2312" w:cs="Times New Roman"/>
          <w:b/>
          <w:bCs w:val="0"/>
          <w:color w:val="auto"/>
          <w:sz w:val="32"/>
          <w:szCs w:val="32"/>
          <w:highlight w:val="none"/>
          <w:lang w:val="en-US" w:eastAsia="zh-CN"/>
        </w:rPr>
        <w:t>三是</w:t>
      </w:r>
      <w:r>
        <w:rPr>
          <w:rFonts w:hint="default" w:ascii="Times New Roman" w:hAnsi="Times New Roman" w:eastAsia="仿宋_GB2312" w:cs="Times New Roman"/>
          <w:bCs/>
          <w:color w:val="auto"/>
          <w:sz w:val="32"/>
          <w:szCs w:val="32"/>
          <w:highlight w:val="none"/>
          <w:lang w:val="en-US" w:eastAsia="zh-CN"/>
        </w:rPr>
        <w:t>项目申报前期要进行充分的准备调研论证评估，为项目预算提供足够的测算依据，合理测算所需财政资金，准确评估财政资金投入使用的效益，提高预算编制的合理性。</w:t>
      </w:r>
    </w:p>
    <w:p w14:paraId="3C8CE47D">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val="0"/>
          <w:color w:val="auto"/>
          <w:sz w:val="32"/>
          <w:szCs w:val="32"/>
          <w:highlight w:val="none"/>
          <w:lang w:val="en-US" w:eastAsia="zh-CN"/>
        </w:rPr>
      </w:pPr>
      <w:r>
        <w:rPr>
          <w:rFonts w:hint="default" w:ascii="Times New Roman" w:hAnsi="Times New Roman" w:eastAsia="楷体_GB2312" w:cs="Times New Roman"/>
          <w:b/>
          <w:bCs w:val="0"/>
          <w:color w:val="auto"/>
          <w:sz w:val="32"/>
          <w:szCs w:val="32"/>
          <w:highlight w:val="none"/>
          <w:lang w:val="en-US" w:eastAsia="zh-CN"/>
        </w:rPr>
        <w:t>（三）专项债项目收支全面纳入预算管理</w:t>
      </w:r>
    </w:p>
    <w:p w14:paraId="0C052B56">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Cs/>
          <w:snapToGrid w:val="0"/>
          <w:color w:val="auto"/>
          <w:kern w:val="0"/>
          <w:sz w:val="32"/>
          <w:szCs w:val="32"/>
          <w:highlight w:val="none"/>
          <w:lang w:val="en-US" w:eastAsia="zh-CN"/>
        </w:rPr>
        <w:t>建议2024年将专项债资金全面纳入预算管理一体化范围，开展全生命周期绩效管理，压实主管部门和项目单位管理责任。</w:t>
      </w:r>
    </w:p>
    <w:p w14:paraId="4044604B">
      <w:pPr>
        <w:pStyle w:val="8"/>
        <w:keepNext w:val="0"/>
        <w:keepLines w:val="0"/>
        <w:pageBreakBefore w:val="0"/>
        <w:widowControl w:val="0"/>
        <w:numPr>
          <w:ilvl w:val="0"/>
          <w:numId w:val="0"/>
        </w:numPr>
        <w:tabs>
          <w:tab w:val="left" w:pos="1103"/>
        </w:tabs>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
          <w:bCs w:val="0"/>
          <w:snapToGrid w:val="0"/>
          <w:color w:val="auto"/>
          <w:kern w:val="0"/>
          <w:sz w:val="32"/>
          <w:szCs w:val="32"/>
          <w:highlight w:val="none"/>
          <w:lang w:val="en-US" w:eastAsia="zh-CN"/>
        </w:rPr>
        <w:t>1.专项债项目资产核算全部纳入部门预算统一编制</w:t>
      </w:r>
    </w:p>
    <w:p w14:paraId="28FF3C73">
      <w:pPr>
        <w:pStyle w:val="8"/>
        <w:keepNext w:val="0"/>
        <w:keepLines w:val="0"/>
        <w:pageBreakBefore w:val="0"/>
        <w:widowControl w:val="0"/>
        <w:numPr>
          <w:ilvl w:val="0"/>
          <w:numId w:val="0"/>
        </w:numPr>
        <w:tabs>
          <w:tab w:val="left" w:pos="1103"/>
        </w:tabs>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Cs/>
          <w:snapToGrid w:val="0"/>
          <w:color w:val="auto"/>
          <w:kern w:val="0"/>
          <w:sz w:val="32"/>
          <w:szCs w:val="32"/>
          <w:highlight w:val="none"/>
          <w:lang w:val="en-US" w:eastAsia="zh-CN"/>
        </w:rPr>
        <w:t>加强专项债项目的立项与预算一体化的衔接，将立项的专项债项目作为特定目标类项目同步纳入预算项目库，完善以项目库为源头的预算管理机制。坚持“先有项目储备、再作预算安排”的基本原则，新增债券资金安排的项目支出要与政府预算项目、本级部门预算项目、转移支付项目保持一致，全部纳入部门预算统一编制。对于投入运营后的专项债项目资产的收支核算管理也应全部纳入部门预算统一编制。</w:t>
      </w:r>
    </w:p>
    <w:p w14:paraId="598C86BE">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val="0"/>
          <w:snapToGrid w:val="0"/>
          <w:color w:val="auto"/>
          <w:kern w:val="0"/>
          <w:sz w:val="32"/>
          <w:szCs w:val="32"/>
          <w:highlight w:val="none"/>
          <w:lang w:val="en-US" w:eastAsia="zh-CN"/>
        </w:rPr>
      </w:pPr>
      <w:r>
        <w:rPr>
          <w:rFonts w:hint="default" w:ascii="Times New Roman" w:hAnsi="Times New Roman" w:eastAsia="仿宋_GB2312" w:cs="Times New Roman"/>
          <w:b/>
          <w:bCs w:val="0"/>
          <w:snapToGrid w:val="0"/>
          <w:color w:val="auto"/>
          <w:kern w:val="0"/>
          <w:sz w:val="32"/>
          <w:szCs w:val="32"/>
          <w:highlight w:val="none"/>
          <w:lang w:val="en-US" w:eastAsia="zh-CN"/>
        </w:rPr>
        <w:t>2.科学进行专项债项目资产会计核算</w:t>
      </w:r>
    </w:p>
    <w:p w14:paraId="635655BD">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bCs/>
          <w:snapToGrid w:val="0"/>
          <w:color w:val="auto"/>
          <w:kern w:val="0"/>
          <w:sz w:val="32"/>
          <w:szCs w:val="32"/>
          <w:highlight w:val="none"/>
          <w:lang w:val="en-US" w:eastAsia="zh-CN"/>
        </w:rPr>
        <w:t>专项债项目资产会计核算坚持预算管理与资产管理并重原则，从预算会计及财务会计角度做好核算工作，即从预算会计角度强化专项债监管、硬化预算，从财务会计角度做好资产负债核算工作，在建工程及时转固，与形成的设备资产一并纳入公共实训基地项目资产专账核算与管理，全面反映政府专项债形成的公共基础设施等资产“家底”，提高预算管理水平、促进资源优化配置、防范政府债务风险。专项债项目资产的确认和计量，要严格按照《政府会计准则第5号—公共基础设施》《政府会计准则制度解释第2号》《政府会计制度》等相关政策规定执行。</w:t>
      </w:r>
    </w:p>
    <w:p w14:paraId="136A7ABB">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val="0"/>
          <w:snapToGrid w:val="0"/>
          <w:color w:val="auto"/>
          <w:kern w:val="0"/>
          <w:sz w:val="32"/>
          <w:szCs w:val="32"/>
          <w:highlight w:val="none"/>
          <w:lang w:val="en-US" w:eastAsia="zh-CN"/>
        </w:rPr>
      </w:pPr>
      <w:r>
        <w:rPr>
          <w:rFonts w:hint="default" w:ascii="Times New Roman" w:hAnsi="Times New Roman" w:eastAsia="仿宋_GB2312" w:cs="Times New Roman"/>
          <w:b/>
          <w:bCs w:val="0"/>
          <w:snapToGrid w:val="0"/>
          <w:color w:val="auto"/>
          <w:kern w:val="0"/>
          <w:sz w:val="32"/>
          <w:szCs w:val="32"/>
          <w:highlight w:val="none"/>
          <w:lang w:val="en-US" w:eastAsia="zh-CN"/>
        </w:rPr>
        <w:t>3.使用政府债券资金的单位的具体会计处理</w:t>
      </w:r>
    </w:p>
    <w:p w14:paraId="4C225325">
      <w:pPr>
        <w:keepNext w:val="0"/>
        <w:keepLines w:val="0"/>
        <w:pageBreakBefore w:val="0"/>
        <w:widowControl w:val="0"/>
        <w:numPr>
          <w:ilvl w:val="0"/>
          <w:numId w:val="0"/>
        </w:numPr>
        <w:kinsoku/>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
          <w:bCs w:val="0"/>
          <w:snapToGrid w:val="0"/>
          <w:color w:val="auto"/>
          <w:kern w:val="0"/>
          <w:sz w:val="32"/>
          <w:szCs w:val="32"/>
          <w:highlight w:val="none"/>
          <w:lang w:val="en-US" w:eastAsia="zh-CN"/>
        </w:rPr>
        <w:t>一是</w:t>
      </w:r>
      <w:r>
        <w:rPr>
          <w:rFonts w:hint="default" w:ascii="Times New Roman" w:hAnsi="Times New Roman" w:eastAsia="仿宋_GB2312" w:cs="Times New Roman"/>
          <w:bCs/>
          <w:snapToGrid w:val="0"/>
          <w:color w:val="auto"/>
          <w:kern w:val="0"/>
          <w:sz w:val="32"/>
          <w:szCs w:val="32"/>
          <w:highlight w:val="none"/>
          <w:lang w:val="en-US" w:eastAsia="zh-CN"/>
        </w:rPr>
        <w:t>单位实际从同级财政取得政府债券资金的，应当借记“银行存款”、“零余额账户用款额度”等科目，贷记“财政拨款收入”科目；同时在预算会计中借记“资金结存”等科目，贷记“财政拨款预算收入”科目；</w:t>
      </w:r>
      <w:r>
        <w:rPr>
          <w:rFonts w:hint="default" w:ascii="Times New Roman" w:hAnsi="Times New Roman" w:eastAsia="仿宋_GB2312" w:cs="Times New Roman"/>
          <w:b/>
          <w:bCs w:val="0"/>
          <w:snapToGrid w:val="0"/>
          <w:color w:val="auto"/>
          <w:kern w:val="0"/>
          <w:sz w:val="32"/>
          <w:szCs w:val="32"/>
          <w:highlight w:val="none"/>
          <w:lang w:val="en-US" w:eastAsia="zh-CN"/>
        </w:rPr>
        <w:t>二是</w:t>
      </w:r>
      <w:r>
        <w:rPr>
          <w:rFonts w:hint="default" w:ascii="Times New Roman" w:hAnsi="Times New Roman" w:eastAsia="仿宋_GB2312" w:cs="Times New Roman"/>
          <w:bCs/>
          <w:snapToGrid w:val="0"/>
          <w:color w:val="auto"/>
          <w:kern w:val="0"/>
          <w:sz w:val="32"/>
          <w:szCs w:val="32"/>
          <w:highlight w:val="none"/>
          <w:lang w:val="en-US" w:eastAsia="zh-CN"/>
        </w:rPr>
        <w:t>按照预算管理要求需对政府债券资金单独反映的，应当在“财政拨款（预算）收入”科目下进行明细核算。例如，取得地方政府债券资金的，应当根据地方政府债券类别按照“地方政府一般债券资金收入”、“地方政府专项债券资金收入”等进行明细核算；</w:t>
      </w:r>
      <w:r>
        <w:rPr>
          <w:rFonts w:hint="default" w:ascii="Times New Roman" w:hAnsi="Times New Roman" w:eastAsia="仿宋_GB2312" w:cs="Times New Roman"/>
          <w:b/>
          <w:bCs w:val="0"/>
          <w:snapToGrid w:val="0"/>
          <w:color w:val="auto"/>
          <w:kern w:val="0"/>
          <w:sz w:val="32"/>
          <w:szCs w:val="32"/>
          <w:highlight w:val="none"/>
          <w:lang w:val="en-US" w:eastAsia="zh-CN"/>
        </w:rPr>
        <w:t>三是</w:t>
      </w:r>
      <w:r>
        <w:rPr>
          <w:rFonts w:hint="default" w:ascii="Times New Roman" w:hAnsi="Times New Roman" w:eastAsia="仿宋_GB2312" w:cs="Times New Roman"/>
          <w:bCs/>
          <w:snapToGrid w:val="0"/>
          <w:color w:val="auto"/>
          <w:kern w:val="0"/>
          <w:sz w:val="32"/>
          <w:szCs w:val="32"/>
          <w:highlight w:val="none"/>
          <w:lang w:val="en-US" w:eastAsia="zh-CN"/>
        </w:rPr>
        <w:t>单位需要向同级财政上缴专项债券对应项目专项收入的，取得专项收入时，应当借记“银行存款”等科目，贷记“应缴财政款”科目；实际上缴时，借记“应缴财政款”科目，贷记“银行存款”等科目。预算会计不做处理；</w:t>
      </w:r>
      <w:r>
        <w:rPr>
          <w:rFonts w:hint="default" w:ascii="Times New Roman" w:hAnsi="Times New Roman" w:eastAsia="仿宋_GB2312" w:cs="Times New Roman"/>
          <w:b/>
          <w:bCs w:val="0"/>
          <w:snapToGrid w:val="0"/>
          <w:color w:val="auto"/>
          <w:kern w:val="0"/>
          <w:sz w:val="32"/>
          <w:szCs w:val="32"/>
          <w:highlight w:val="none"/>
          <w:lang w:val="en-US" w:eastAsia="zh-CN"/>
        </w:rPr>
        <w:t>四是</w:t>
      </w:r>
      <w:r>
        <w:rPr>
          <w:rFonts w:hint="default" w:ascii="Times New Roman" w:hAnsi="Times New Roman" w:eastAsia="仿宋_GB2312" w:cs="Times New Roman"/>
          <w:bCs/>
          <w:snapToGrid w:val="0"/>
          <w:color w:val="auto"/>
          <w:kern w:val="0"/>
          <w:sz w:val="32"/>
          <w:szCs w:val="32"/>
          <w:highlight w:val="none"/>
          <w:lang w:val="en-US" w:eastAsia="zh-CN"/>
        </w:rPr>
        <w:t>单位应当对使用地方政府债券资金所形成的资产、上缴的专项债券对应项目专项收入进行辅助核算或备查簿登记。</w:t>
      </w:r>
    </w:p>
    <w:p w14:paraId="3256DF58">
      <w:pPr>
        <w:keepNext w:val="0"/>
        <w:keepLines w:val="0"/>
        <w:pageBreakBefore w:val="0"/>
        <w:widowControl w:val="0"/>
        <w:numPr>
          <w:ilvl w:val="0"/>
          <w:numId w:val="0"/>
        </w:numPr>
        <w:tabs>
          <w:tab w:val="left" w:pos="1553"/>
        </w:tabs>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
          <w:bCs w:val="0"/>
          <w:snapToGrid w:val="0"/>
          <w:color w:val="auto"/>
          <w:kern w:val="0"/>
          <w:sz w:val="32"/>
          <w:szCs w:val="32"/>
          <w:highlight w:val="none"/>
          <w:lang w:val="en-US" w:eastAsia="zh-CN"/>
        </w:rPr>
      </w:pPr>
      <w:r>
        <w:rPr>
          <w:rFonts w:hint="default" w:ascii="Times New Roman" w:hAnsi="Times New Roman" w:eastAsia="仿宋_GB2312" w:cs="Times New Roman"/>
          <w:b/>
          <w:bCs w:val="0"/>
          <w:snapToGrid w:val="0"/>
          <w:color w:val="auto"/>
          <w:kern w:val="0"/>
          <w:sz w:val="32"/>
          <w:szCs w:val="32"/>
          <w:highlight w:val="none"/>
          <w:lang w:val="en-US" w:eastAsia="zh-CN"/>
        </w:rPr>
        <w:t>4.加强专项债项目国有资产管理</w:t>
      </w:r>
    </w:p>
    <w:p w14:paraId="36A9B182">
      <w:pPr>
        <w:keepNext w:val="0"/>
        <w:keepLines w:val="0"/>
        <w:pageBreakBefore w:val="0"/>
        <w:widowControl w:val="0"/>
        <w:numPr>
          <w:ilvl w:val="0"/>
          <w:numId w:val="0"/>
        </w:numPr>
        <w:tabs>
          <w:tab w:val="left" w:pos="1553"/>
        </w:tabs>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Cs/>
          <w:snapToGrid w:val="0"/>
          <w:color w:val="auto"/>
          <w:kern w:val="0"/>
          <w:sz w:val="32"/>
          <w:szCs w:val="32"/>
          <w:highlight w:val="none"/>
          <w:lang w:val="en-US" w:eastAsia="zh-CN"/>
        </w:rPr>
        <w:t>行政事业单位作为专项债项目资产管理登记单位，应规范设置台账，依法进行会计核算，坚持资产管理与预算管理、绩效管理相结合原则，根据相关制度要求及时、真实、完整、准确登记项目资产相关信息，比如资产种类、名称、形成日期、原价、使用年限、使用人、管理人、资产经营收入等，并随资产全生命周期动态更新。以夯实资产核算基础，提升资产管理质量及水平，落实预算绩效管理制度，优化财政资源配置，提升公共服务质量。</w:t>
      </w:r>
    </w:p>
    <w:p w14:paraId="2C8C31AE">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val="0"/>
          <w:snapToGrid w:val="0"/>
          <w:color w:val="auto"/>
          <w:kern w:val="0"/>
          <w:sz w:val="32"/>
          <w:szCs w:val="32"/>
          <w:highlight w:val="none"/>
          <w:lang w:val="en-US" w:eastAsia="zh-CN"/>
        </w:rPr>
      </w:pPr>
      <w:r>
        <w:rPr>
          <w:rFonts w:hint="default" w:ascii="Times New Roman" w:hAnsi="Times New Roman" w:eastAsia="楷体_GB2312" w:cs="Times New Roman"/>
          <w:b/>
          <w:bCs w:val="0"/>
          <w:color w:val="auto"/>
          <w:sz w:val="32"/>
          <w:szCs w:val="32"/>
          <w:highlight w:val="none"/>
          <w:lang w:val="en-US" w:eastAsia="zh-CN"/>
        </w:rPr>
        <w:t>（四）提升资金使用管理，</w:t>
      </w:r>
      <w:r>
        <w:rPr>
          <w:rFonts w:hint="default" w:ascii="Times New Roman" w:hAnsi="Times New Roman" w:eastAsia="楷体_GB2312" w:cs="Times New Roman"/>
          <w:b/>
          <w:bCs w:val="0"/>
          <w:snapToGrid w:val="0"/>
          <w:color w:val="auto"/>
          <w:kern w:val="0"/>
          <w:sz w:val="32"/>
          <w:szCs w:val="32"/>
          <w:highlight w:val="none"/>
          <w:lang w:val="en-US" w:eastAsia="zh-CN"/>
        </w:rPr>
        <w:t>使预算管理与财务管理机制有机结合</w:t>
      </w:r>
    </w:p>
    <w:p w14:paraId="4AB2DA69">
      <w:pPr>
        <w:keepNext w:val="0"/>
        <w:keepLines w:val="0"/>
        <w:pageBreakBefore w:val="0"/>
        <w:widowControl/>
        <w:numPr>
          <w:ilvl w:val="0"/>
          <w:numId w:val="0"/>
        </w:numPr>
        <w:kinsoku/>
        <w:wordWrap/>
        <w:overflowPunct/>
        <w:topLinePunct/>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
          <w:bCs w:val="0"/>
          <w:snapToGrid w:val="0"/>
          <w:color w:val="auto"/>
          <w:kern w:val="0"/>
          <w:sz w:val="32"/>
          <w:szCs w:val="32"/>
          <w:highlight w:val="none"/>
          <w:lang w:val="en-US" w:eastAsia="zh-CN"/>
        </w:rPr>
        <w:t>一是</w:t>
      </w:r>
      <w:r>
        <w:rPr>
          <w:rFonts w:hint="default" w:ascii="Times New Roman" w:hAnsi="Times New Roman" w:eastAsia="仿宋_GB2312" w:cs="Times New Roman"/>
          <w:bCs/>
          <w:snapToGrid w:val="0"/>
          <w:color w:val="auto"/>
          <w:kern w:val="0"/>
          <w:sz w:val="32"/>
          <w:szCs w:val="32"/>
          <w:highlight w:val="none"/>
          <w:lang w:val="en-US" w:eastAsia="zh-CN"/>
        </w:rPr>
        <w:t>无预算不支出，项目资金年初列出预算明细，经审批后方可执行，如果年初没有预算，年中确需发生，需申请追加预算，经批准后执行；</w:t>
      </w:r>
      <w:r>
        <w:rPr>
          <w:rFonts w:hint="default" w:ascii="Times New Roman" w:hAnsi="Times New Roman" w:eastAsia="仿宋_GB2312" w:cs="Times New Roman"/>
          <w:b/>
          <w:bCs w:val="0"/>
          <w:snapToGrid w:val="0"/>
          <w:color w:val="auto"/>
          <w:kern w:val="0"/>
          <w:sz w:val="32"/>
          <w:szCs w:val="32"/>
          <w:highlight w:val="none"/>
          <w:lang w:val="en-US" w:eastAsia="zh-CN"/>
        </w:rPr>
        <w:t>二是</w:t>
      </w:r>
      <w:r>
        <w:rPr>
          <w:rFonts w:hint="default" w:ascii="Times New Roman" w:hAnsi="Times New Roman" w:eastAsia="仿宋_GB2312" w:cs="Times New Roman"/>
          <w:bCs/>
          <w:snapToGrid w:val="0"/>
          <w:color w:val="auto"/>
          <w:kern w:val="0"/>
          <w:sz w:val="32"/>
          <w:szCs w:val="32"/>
          <w:highlight w:val="none"/>
          <w:lang w:val="en-US" w:eastAsia="zh-CN"/>
        </w:rPr>
        <w:t>严格执行预算管理。跟踪监测每个具体项目的执行情况，及时发现项目预算执行中的问题并提出相应措施，加快项目推进进度，及时进行资金支付，避免资金闲置，提高财政资金使用效益；</w:t>
      </w:r>
      <w:r>
        <w:rPr>
          <w:rFonts w:hint="default" w:ascii="Times New Roman" w:hAnsi="Times New Roman" w:eastAsia="仿宋_GB2312" w:cs="Times New Roman"/>
          <w:b/>
          <w:bCs w:val="0"/>
          <w:snapToGrid w:val="0"/>
          <w:color w:val="auto"/>
          <w:kern w:val="0"/>
          <w:sz w:val="32"/>
          <w:szCs w:val="32"/>
          <w:highlight w:val="none"/>
          <w:lang w:val="en-US" w:eastAsia="zh-CN"/>
        </w:rPr>
        <w:t>三是</w:t>
      </w:r>
      <w:r>
        <w:rPr>
          <w:rFonts w:hint="default" w:ascii="Times New Roman" w:hAnsi="Times New Roman" w:eastAsia="仿宋_GB2312" w:cs="Times New Roman"/>
          <w:bCs/>
          <w:snapToGrid w:val="0"/>
          <w:color w:val="auto"/>
          <w:kern w:val="0"/>
          <w:sz w:val="32"/>
          <w:szCs w:val="32"/>
          <w:highlight w:val="none"/>
          <w:lang w:val="en-US" w:eastAsia="zh-CN"/>
        </w:rPr>
        <w:t>严格落实各项规章制度，结合项目实际，制定和完善专项资金管理办法，明确专项资金使用方向，严禁在专项资金中列支日常公用经费，严禁同一个项目专项债资金的使用超过项目预算金额与已下达财政专项资金的差额。做好专项资金的财务核算，加强财务管理，坚持专人管理、专账管理、专款专用的原则，加大资金监管力度；按年度开展绩效评价，定期对专项资金结余情况进行清理，确保资金安全、及时、足额下达，不闲置滞留，不挤占挪用，最大限度发挥资金使用效益。</w:t>
      </w:r>
    </w:p>
    <w:p w14:paraId="2C95C8AD">
      <w:pPr>
        <w:keepNext w:val="0"/>
        <w:keepLines w:val="0"/>
        <w:pageBreakBefore w:val="0"/>
        <w:widowControl/>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val="0"/>
          <w:color w:val="auto"/>
          <w:sz w:val="32"/>
          <w:szCs w:val="32"/>
          <w:highlight w:val="none"/>
          <w:lang w:val="en-US" w:eastAsia="zh-CN"/>
        </w:rPr>
      </w:pPr>
      <w:r>
        <w:rPr>
          <w:rFonts w:hint="default" w:ascii="Times New Roman" w:hAnsi="Times New Roman" w:eastAsia="楷体_GB2312" w:cs="Times New Roman"/>
          <w:b/>
          <w:bCs w:val="0"/>
          <w:color w:val="auto"/>
          <w:sz w:val="32"/>
          <w:szCs w:val="32"/>
          <w:highlight w:val="none"/>
          <w:lang w:val="en-US" w:eastAsia="zh-CN"/>
        </w:rPr>
        <w:t>（五）加强资产管理，提高资产配置效益</w:t>
      </w:r>
    </w:p>
    <w:p w14:paraId="2C9B7A2E">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Cs/>
          <w:snapToGrid w:val="0"/>
          <w:color w:val="auto"/>
          <w:kern w:val="0"/>
          <w:sz w:val="32"/>
          <w:szCs w:val="32"/>
          <w:highlight w:val="none"/>
          <w:lang w:val="en-US" w:eastAsia="zh-CN"/>
        </w:rPr>
        <w:t>提高对资产管理的重视程度，落实资产清查工作，建立完善的资产管理机制。做好资产日常管理工作，定期开展资产清查和自查工作，每年年末对固定资产、流动资产全面清查盘点，保证账、卡、物相符，对盘盈、盘亏的资产，要查明原因分清责任，及时处理。</w:t>
      </w:r>
    </w:p>
    <w:p w14:paraId="20BDD3DD">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3" w:firstLineChars="200"/>
        <w:jc w:val="both"/>
        <w:textAlignment w:val="baseline"/>
        <w:rPr>
          <w:rFonts w:hint="default" w:ascii="Times New Roman" w:hAnsi="Times New Roman" w:eastAsia="楷体_GB2312" w:cs="Times New Roman"/>
          <w:b/>
          <w:bCs w:val="0"/>
          <w:color w:val="auto"/>
          <w:sz w:val="32"/>
          <w:szCs w:val="32"/>
          <w:highlight w:val="none"/>
          <w:lang w:val="en-US" w:eastAsia="zh-CN"/>
        </w:rPr>
      </w:pPr>
      <w:r>
        <w:rPr>
          <w:rFonts w:hint="default" w:ascii="Times New Roman" w:hAnsi="Times New Roman" w:eastAsia="楷体_GB2312" w:cs="Times New Roman"/>
          <w:b/>
          <w:bCs w:val="0"/>
          <w:color w:val="auto"/>
          <w:sz w:val="32"/>
          <w:szCs w:val="32"/>
          <w:highlight w:val="none"/>
          <w:lang w:val="en-US" w:eastAsia="zh-CN"/>
        </w:rPr>
        <w:t>（六）加强专项债券项目投后管理，防范项目偿债风险</w:t>
      </w:r>
    </w:p>
    <w:p w14:paraId="0F8AB4E8">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Cs/>
          <w:snapToGrid w:val="0"/>
          <w:color w:val="auto"/>
          <w:kern w:val="0"/>
          <w:sz w:val="32"/>
          <w:szCs w:val="32"/>
          <w:highlight w:val="none"/>
          <w:lang w:val="en-US" w:eastAsia="zh-CN"/>
        </w:rPr>
        <w:t>1.加强项目投后管理，提升项目可持续盈利能力</w:t>
      </w:r>
    </w:p>
    <w:p w14:paraId="02B2E17C">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Cs/>
          <w:snapToGrid w:val="0"/>
          <w:color w:val="auto"/>
          <w:kern w:val="0"/>
          <w:sz w:val="32"/>
          <w:szCs w:val="32"/>
          <w:highlight w:val="none"/>
          <w:lang w:val="en-US" w:eastAsia="zh-CN"/>
        </w:rPr>
        <w:t>建议坚持“谁举债、谁负责、谁使用、谁偿还”的“权责利”基本方向，有序稳步推进明晰责任主体，推动实现项目还款来源与具体项目的严格对应，促进项目单位转变和提升专项债券项目偿债责任意识。建议加强项目投后管理，理顺项目运营管理机制，明确项目经济收益责任主体，挖掘项目收益来源，提升项目单位自身偿还债务能力和可持续盈利能力。</w:t>
      </w:r>
    </w:p>
    <w:p w14:paraId="693E7F5D">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Cs/>
          <w:snapToGrid w:val="0"/>
          <w:color w:val="auto"/>
          <w:kern w:val="0"/>
          <w:sz w:val="32"/>
          <w:szCs w:val="32"/>
          <w:highlight w:val="none"/>
          <w:lang w:val="en-US" w:eastAsia="zh-CN"/>
        </w:rPr>
        <w:t>2.强化项目偿债风险预警，建立和优化偿债保障机制</w:t>
      </w:r>
    </w:p>
    <w:p w14:paraId="4F18D634">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Cs/>
          <w:snapToGrid w:val="0"/>
          <w:color w:val="auto"/>
          <w:kern w:val="0"/>
          <w:sz w:val="32"/>
          <w:szCs w:val="32"/>
          <w:highlight w:val="none"/>
          <w:lang w:val="en-US" w:eastAsia="zh-CN"/>
        </w:rPr>
        <w:t>建议在关注政府债务率指标的基础上，将风险防范深入至项目层面，强化建立项目全生命周期偿债风险预警机制，对影响专项债券偿还的专项债券项目收益进行监测，确保在专项债券项目违约风险过高时进行及时调整，控制专项债券项目风险敞口，避免局部债务风险积聚。建议建立违约事件的应急响应机制，根据违约风险等级，通过采取调入项目运营收入、调整支出结构、处置可变现资产、暂停涉事单位新增专项债券发行资格等措施做好风险处置。建议探索建立规范的项目收入归集机制和偿债准备机制，定期按比例从已实现项目收益或政府性基金预算收入中提取准备金，一方面确保项目收益资金安全，不被挤占挪用，专项用于未来偿还专项债券本息，另一方面补充专项债券偿债违约资金缺口，提升整体偿债能力。</w:t>
      </w:r>
    </w:p>
    <w:p w14:paraId="6A778483">
      <w:pPr>
        <w:keepNext w:val="0"/>
        <w:keepLines w:val="0"/>
        <w:pageBreakBefore w:val="0"/>
        <w:widowControl/>
        <w:numPr>
          <w:ilvl w:val="0"/>
          <w:numId w:val="4"/>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评价情况及评价结论</w:t>
      </w:r>
    </w:p>
    <w:p w14:paraId="7601D614">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Cs/>
          <w:snapToGrid w:val="0"/>
          <w:color w:val="auto"/>
          <w:kern w:val="0"/>
          <w:sz w:val="32"/>
          <w:szCs w:val="32"/>
          <w:highlight w:val="none"/>
          <w:lang w:val="en-US" w:eastAsia="zh-CN"/>
        </w:rPr>
        <w:t>绩效评价小组按照目标设定、预算配置、预算执行、预算管理、资产管理、职责履行、履职效益七个方面进行评价，根据《衡阳技师学院2022年度部门整体支出绩效评价评分表》，技师学院综合得分80.1分，评价等级为“良”。</w:t>
      </w:r>
    </w:p>
    <w:p w14:paraId="1EEC2E41">
      <w:pPr>
        <w:keepNext w:val="0"/>
        <w:keepLines w:val="0"/>
        <w:pageBreakBefore w:val="0"/>
        <w:widowControl/>
        <w:numPr>
          <w:ilvl w:val="0"/>
          <w:numId w:val="4"/>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绩效评价结果应用建议</w:t>
      </w:r>
    </w:p>
    <w:p w14:paraId="7B0DF239">
      <w:pPr>
        <w:keepNext w:val="0"/>
        <w:keepLines w:val="0"/>
        <w:pageBreakBefore w:val="0"/>
        <w:widowControl w:val="0"/>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_GB2312" w:cs="Times New Roman"/>
          <w:bCs/>
          <w:snapToGrid w:val="0"/>
          <w:color w:val="auto"/>
          <w:kern w:val="0"/>
          <w:sz w:val="32"/>
          <w:szCs w:val="32"/>
          <w:highlight w:val="none"/>
          <w:lang w:val="en-US" w:eastAsia="zh-CN"/>
        </w:rPr>
      </w:pPr>
      <w:r>
        <w:rPr>
          <w:rFonts w:hint="default" w:ascii="Times New Roman" w:hAnsi="Times New Roman" w:eastAsia="仿宋_GB2312" w:cs="Times New Roman"/>
          <w:bCs/>
          <w:snapToGrid w:val="0"/>
          <w:color w:val="auto"/>
          <w:kern w:val="0"/>
          <w:sz w:val="32"/>
          <w:szCs w:val="32"/>
          <w:highlight w:val="none"/>
          <w:lang w:val="en-US" w:eastAsia="zh-CN"/>
        </w:rPr>
        <w:t>技师学院要对照评价报告加强整改，及时公开绩效评价结果，主动接受社会监督。</w:t>
      </w:r>
    </w:p>
    <w:p w14:paraId="189FC357">
      <w:pPr>
        <w:keepNext w:val="0"/>
        <w:keepLines w:val="0"/>
        <w:pageBreakBefore w:val="0"/>
        <w:widowControl/>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lang w:val="en-US" w:eastAsia="zh-CN"/>
        </w:rPr>
      </w:pPr>
    </w:p>
    <w:p w14:paraId="0FAE4DA3">
      <w:pPr>
        <w:keepNext w:val="0"/>
        <w:keepLines w:val="0"/>
        <w:pageBreakBefore w:val="0"/>
        <w:widowControl/>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w:t>
      </w:r>
    </w:p>
    <w:p w14:paraId="1C209746">
      <w:pPr>
        <w:keepNext w:val="0"/>
        <w:keepLines w:val="0"/>
        <w:pageBreakBefore w:val="0"/>
        <w:widowControl/>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 w:cs="Times New Roman"/>
          <w:bCs/>
          <w:color w:val="auto"/>
          <w:spacing w:val="-6"/>
          <w:sz w:val="32"/>
          <w:szCs w:val="32"/>
          <w:highlight w:val="none"/>
          <w:lang w:val="en-US" w:eastAsia="zh-CN"/>
        </w:rPr>
      </w:pPr>
      <w:r>
        <w:rPr>
          <w:rFonts w:hint="default" w:ascii="Times New Roman" w:hAnsi="Times New Roman" w:eastAsia="仿宋" w:cs="Times New Roman"/>
          <w:bCs/>
          <w:color w:val="auto"/>
          <w:sz w:val="32"/>
          <w:szCs w:val="32"/>
          <w:highlight w:val="none"/>
          <w:lang w:val="en-US" w:eastAsia="zh-CN"/>
        </w:rPr>
        <w:t>1.</w:t>
      </w:r>
      <w:r>
        <w:rPr>
          <w:rFonts w:hint="default" w:ascii="Times New Roman" w:hAnsi="Times New Roman" w:eastAsia="仿宋" w:cs="Times New Roman"/>
          <w:bCs/>
          <w:color w:val="auto"/>
          <w:spacing w:val="-6"/>
          <w:sz w:val="32"/>
          <w:szCs w:val="32"/>
          <w:highlight w:val="none"/>
          <w:lang w:val="en-US" w:eastAsia="zh-CN"/>
        </w:rPr>
        <w:t>衡阳技师学院2022年度部门整体支出绩效评价基础数据表</w:t>
      </w:r>
    </w:p>
    <w:p w14:paraId="4B4E57DB">
      <w:pPr>
        <w:keepNext w:val="0"/>
        <w:keepLines w:val="0"/>
        <w:pageBreakBefore w:val="0"/>
        <w:widowControl/>
        <w:numPr>
          <w:ilvl w:val="0"/>
          <w:numId w:val="0"/>
        </w:numPr>
        <w:kinsoku w:val="0"/>
        <w:wordWrap/>
        <w:overflowPunct/>
        <w:topLinePunct w:val="0"/>
        <w:autoSpaceDE w:val="0"/>
        <w:autoSpaceDN w:val="0"/>
        <w:bidi w:val="0"/>
        <w:adjustRightInd/>
        <w:snapToGrid/>
        <w:spacing w:line="580" w:lineRule="exact"/>
        <w:ind w:leftChars="0" w:firstLine="640" w:firstLineChars="200"/>
        <w:jc w:val="both"/>
        <w:textAlignment w:val="baseline"/>
        <w:rPr>
          <w:rFonts w:hint="default" w:ascii="Times New Roman" w:hAnsi="Times New Roman" w:eastAsia="仿宋" w:cs="Times New Roman"/>
          <w:bCs/>
          <w:color w:val="auto"/>
          <w:sz w:val="32"/>
          <w:szCs w:val="32"/>
          <w:highlight w:val="none"/>
          <w:lang w:val="en-US" w:eastAsia="zh-CN"/>
        </w:rPr>
      </w:pPr>
      <w:r>
        <w:rPr>
          <w:rFonts w:hint="default" w:ascii="Times New Roman" w:hAnsi="Times New Roman" w:eastAsia="仿宋" w:cs="Times New Roman"/>
          <w:bCs/>
          <w:color w:val="auto"/>
          <w:sz w:val="32"/>
          <w:szCs w:val="32"/>
          <w:highlight w:val="none"/>
          <w:lang w:val="en-US" w:eastAsia="zh-CN"/>
        </w:rPr>
        <w:t>2.衡阳技师学院2022年度部门整体支出绩效评价指标及权重分值表</w:t>
      </w:r>
    </w:p>
    <w:p w14:paraId="309F6BDE">
      <w:pPr>
        <w:keepNext w:val="0"/>
        <w:keepLines w:val="0"/>
        <w:pageBreakBefore w:val="0"/>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rPr>
      </w:pPr>
    </w:p>
    <w:p w14:paraId="1154307B">
      <w:pPr>
        <w:pStyle w:val="3"/>
        <w:keepNext w:val="0"/>
        <w:keepLines w:val="0"/>
        <w:pageBreakBefore w:val="0"/>
        <w:tabs>
          <w:tab w:val="left" w:pos="973"/>
        </w:tabs>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rPr>
      </w:pPr>
    </w:p>
    <w:p w14:paraId="3B373CAB">
      <w:pPr>
        <w:pStyle w:val="3"/>
        <w:keepNext w:val="0"/>
        <w:keepLines w:val="0"/>
        <w:pageBreakBefore w:val="0"/>
        <w:tabs>
          <w:tab w:val="left" w:pos="973"/>
        </w:tabs>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rPr>
      </w:pPr>
    </w:p>
    <w:p w14:paraId="5145FBAF">
      <w:pPr>
        <w:pStyle w:val="3"/>
        <w:keepNext w:val="0"/>
        <w:keepLines w:val="0"/>
        <w:pageBreakBefore w:val="0"/>
        <w:tabs>
          <w:tab w:val="left" w:pos="973"/>
        </w:tabs>
        <w:bidi w:val="0"/>
        <w:adjustRightInd/>
        <w:snapToGrid/>
        <w:spacing w:line="580" w:lineRule="exact"/>
        <w:ind w:leftChars="0" w:firstLine="640" w:firstLineChars="200"/>
        <w:jc w:val="both"/>
        <w:textAlignment w:val="baseline"/>
        <w:rPr>
          <w:rFonts w:hint="default" w:ascii="Times New Roman" w:hAnsi="Times New Roman" w:eastAsia="黑体" w:cs="Times New Roman"/>
          <w:color w:val="auto"/>
          <w:sz w:val="32"/>
          <w:szCs w:val="32"/>
        </w:rPr>
      </w:pPr>
    </w:p>
    <w:p w14:paraId="38411ADF">
      <w:pPr>
        <w:pStyle w:val="3"/>
        <w:tabs>
          <w:tab w:val="left" w:pos="973"/>
        </w:tabs>
        <w:rPr>
          <w:rFonts w:hint="default" w:ascii="Times New Roman" w:hAnsi="Times New Roman" w:eastAsia="黑体" w:cs="Times New Roman"/>
          <w:color w:val="auto"/>
          <w:sz w:val="32"/>
          <w:szCs w:val="32"/>
        </w:rPr>
      </w:pPr>
    </w:p>
    <w:p w14:paraId="2CAD8986">
      <w:pPr>
        <w:pStyle w:val="3"/>
        <w:tabs>
          <w:tab w:val="left" w:pos="973"/>
        </w:tabs>
        <w:rPr>
          <w:rFonts w:hint="default" w:ascii="Times New Roman" w:hAnsi="Times New Roman" w:eastAsia="黑体" w:cs="Times New Roman"/>
          <w:color w:val="auto"/>
          <w:sz w:val="32"/>
          <w:szCs w:val="32"/>
        </w:rPr>
      </w:pPr>
    </w:p>
    <w:p w14:paraId="7B3EBB97">
      <w:pPr>
        <w:pStyle w:val="3"/>
        <w:tabs>
          <w:tab w:val="left" w:pos="973"/>
        </w:tabs>
        <w:rPr>
          <w:rFonts w:hint="default" w:ascii="Times New Roman" w:hAnsi="Times New Roman" w:eastAsia="黑体" w:cs="Times New Roman"/>
          <w:color w:val="auto"/>
          <w:sz w:val="32"/>
          <w:szCs w:val="32"/>
        </w:rPr>
      </w:pPr>
    </w:p>
    <w:p w14:paraId="644EA1ED">
      <w:pPr>
        <w:pStyle w:val="3"/>
        <w:tabs>
          <w:tab w:val="left" w:pos="973"/>
        </w:tabs>
        <w:rPr>
          <w:rFonts w:hint="default" w:ascii="Times New Roman" w:hAnsi="Times New Roman" w:eastAsia="黑体" w:cs="Times New Roman"/>
          <w:color w:val="auto"/>
          <w:sz w:val="32"/>
          <w:szCs w:val="32"/>
        </w:rPr>
      </w:pPr>
    </w:p>
    <w:p w14:paraId="1FB4D2DF">
      <w:pPr>
        <w:pStyle w:val="3"/>
        <w:tabs>
          <w:tab w:val="left" w:pos="973"/>
        </w:tabs>
        <w:rPr>
          <w:rFonts w:hint="default" w:ascii="Times New Roman" w:hAnsi="Times New Roman" w:eastAsia="黑体" w:cs="Times New Roman"/>
          <w:color w:val="auto"/>
          <w:sz w:val="32"/>
          <w:szCs w:val="32"/>
        </w:rPr>
      </w:pPr>
    </w:p>
    <w:p w14:paraId="49C6AE65">
      <w:pPr>
        <w:pStyle w:val="3"/>
        <w:tabs>
          <w:tab w:val="left" w:pos="973"/>
        </w:tabs>
        <w:rPr>
          <w:rFonts w:hint="default" w:ascii="Times New Roman" w:hAnsi="Times New Roman" w:eastAsia="黑体" w:cs="Times New Roman"/>
          <w:color w:val="auto"/>
          <w:sz w:val="32"/>
          <w:szCs w:val="32"/>
        </w:rPr>
      </w:pPr>
    </w:p>
    <w:p w14:paraId="4BD6B1EB">
      <w:pPr>
        <w:pStyle w:val="3"/>
        <w:tabs>
          <w:tab w:val="left" w:pos="973"/>
        </w:tabs>
        <w:rPr>
          <w:rFonts w:hint="default" w:ascii="Times New Roman" w:hAnsi="Times New Roman" w:eastAsia="黑体" w:cs="Times New Roman"/>
          <w:color w:val="auto"/>
          <w:sz w:val="32"/>
          <w:szCs w:val="32"/>
        </w:rPr>
      </w:pPr>
    </w:p>
    <w:p w14:paraId="7D25BA53">
      <w:pPr>
        <w:rPr>
          <w:rFonts w:hint="default" w:ascii="Times New Roman" w:hAnsi="Times New Roman" w:eastAsia="黑体" w:cs="Times New Roman"/>
          <w:color w:val="auto"/>
          <w:sz w:val="32"/>
          <w:szCs w:val="32"/>
        </w:rPr>
      </w:pPr>
    </w:p>
    <w:p w14:paraId="2F311719">
      <w:pPr>
        <w:rPr>
          <w:rFonts w:hint="default" w:ascii="Times New Roman" w:hAnsi="Times New Roman" w:eastAsia="黑体" w:cs="Times New Roman"/>
          <w:color w:val="auto"/>
          <w:sz w:val="32"/>
          <w:szCs w:val="32"/>
        </w:rPr>
      </w:pPr>
    </w:p>
    <w:p w14:paraId="2109D7C2">
      <w:pPr>
        <w:rPr>
          <w:rFonts w:hint="default" w:ascii="Times New Roman" w:hAnsi="Times New Roman" w:eastAsia="黑体" w:cs="Times New Roman"/>
          <w:color w:val="auto"/>
          <w:sz w:val="32"/>
          <w:szCs w:val="32"/>
        </w:rPr>
      </w:pPr>
    </w:p>
    <w:p w14:paraId="7B28EDE9">
      <w:pPr>
        <w:rPr>
          <w:rFonts w:hint="default" w:ascii="Times New Roman" w:hAnsi="Times New Roman" w:eastAsia="黑体" w:cs="Times New Roman"/>
          <w:color w:val="auto"/>
          <w:sz w:val="32"/>
          <w:szCs w:val="32"/>
        </w:rPr>
      </w:pPr>
    </w:p>
    <w:p w14:paraId="0229F516">
      <w:pPr>
        <w:rPr>
          <w:rFonts w:hint="default" w:ascii="Times New Roman" w:hAnsi="Times New Roman" w:eastAsia="黑体" w:cs="Times New Roman"/>
          <w:color w:val="auto"/>
          <w:sz w:val="32"/>
          <w:szCs w:val="32"/>
        </w:rPr>
      </w:pPr>
    </w:p>
    <w:p w14:paraId="420D852A">
      <w:pPr>
        <w:rPr>
          <w:rFonts w:hint="default" w:ascii="Times New Roman" w:hAnsi="Times New Roman" w:eastAsia="黑体" w:cs="Times New Roman"/>
          <w:color w:val="auto"/>
          <w:sz w:val="32"/>
          <w:szCs w:val="32"/>
        </w:rPr>
      </w:pPr>
    </w:p>
    <w:p w14:paraId="62D0DECB">
      <w:pPr>
        <w:rPr>
          <w:rFonts w:hint="default" w:ascii="Times New Roman" w:hAnsi="Times New Roman" w:eastAsia="黑体" w:cs="Times New Roman"/>
          <w:color w:val="auto"/>
          <w:sz w:val="32"/>
          <w:szCs w:val="32"/>
        </w:rPr>
      </w:pPr>
    </w:p>
    <w:p w14:paraId="1CDA6933">
      <w:pPr>
        <w:rPr>
          <w:rFonts w:hint="default" w:ascii="Times New Roman" w:hAnsi="Times New Roman" w:eastAsia="黑体" w:cs="Times New Roman"/>
          <w:color w:val="auto"/>
          <w:sz w:val="32"/>
          <w:szCs w:val="32"/>
        </w:rPr>
      </w:pPr>
    </w:p>
    <w:p w14:paraId="35E7FE14">
      <w:pPr>
        <w:rPr>
          <w:rFonts w:hint="default" w:ascii="Times New Roman" w:hAnsi="Times New Roman" w:eastAsia="黑体" w:cs="Times New Roman"/>
          <w:color w:val="auto"/>
          <w:sz w:val="32"/>
          <w:szCs w:val="32"/>
        </w:rPr>
      </w:pPr>
    </w:p>
    <w:p w14:paraId="0EC2C742">
      <w:pPr>
        <w:rPr>
          <w:rFonts w:hint="default" w:ascii="Times New Roman" w:hAnsi="Times New Roman" w:eastAsia="黑体" w:cs="Times New Roman"/>
          <w:color w:val="auto"/>
          <w:sz w:val="32"/>
          <w:szCs w:val="32"/>
        </w:rPr>
      </w:pPr>
    </w:p>
    <w:p w14:paraId="58B935CA">
      <w:pPr>
        <w:rPr>
          <w:rFonts w:hint="default" w:ascii="Times New Roman" w:hAnsi="Times New Roman" w:eastAsia="黑体" w:cs="Times New Roman"/>
          <w:color w:val="auto"/>
          <w:sz w:val="32"/>
          <w:szCs w:val="32"/>
        </w:rPr>
      </w:pPr>
    </w:p>
    <w:p w14:paraId="68E03708">
      <w:pPr>
        <w:rPr>
          <w:rFonts w:hint="default" w:ascii="Times New Roman" w:hAnsi="Times New Roman" w:eastAsia="黑体" w:cs="Times New Roman"/>
          <w:color w:val="auto"/>
          <w:sz w:val="32"/>
          <w:szCs w:val="32"/>
        </w:rPr>
      </w:pPr>
    </w:p>
    <w:p w14:paraId="12D5C152">
      <w:pPr>
        <w:rPr>
          <w:rFonts w:hint="default" w:ascii="Times New Roman" w:hAnsi="Times New Roman" w:eastAsia="黑体" w:cs="Times New Roman"/>
          <w:color w:val="auto"/>
          <w:sz w:val="32"/>
          <w:szCs w:val="32"/>
        </w:rPr>
      </w:pPr>
    </w:p>
    <w:p w14:paraId="4B48E373">
      <w:pPr>
        <w:pStyle w:val="3"/>
        <w:tabs>
          <w:tab w:val="left" w:pos="973"/>
        </w:tabs>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1</w:t>
      </w:r>
      <w:r>
        <w:rPr>
          <w:rFonts w:hint="default" w:ascii="Times New Roman" w:hAnsi="Times New Roman" w:eastAsia="黑体" w:cs="Times New Roman"/>
          <w:color w:val="auto"/>
          <w:sz w:val="32"/>
          <w:szCs w:val="32"/>
        </w:rPr>
        <w:t xml:space="preserve">   </w:t>
      </w:r>
    </w:p>
    <w:p w14:paraId="34EF1421">
      <w:pPr>
        <w:spacing w:line="620" w:lineRule="exact"/>
        <w:jc w:val="center"/>
        <w:rPr>
          <w:rFonts w:hint="default" w:ascii="Times New Roman" w:hAnsi="Times New Roman" w:eastAsia="方正小标宋简体" w:cs="Times New Roman"/>
          <w:color w:val="auto"/>
          <w:kern w:val="0"/>
          <w:sz w:val="30"/>
          <w:szCs w:val="30"/>
          <w:lang w:val="en-US" w:eastAsia="zh-CN"/>
        </w:rPr>
      </w:pPr>
      <w:r>
        <w:rPr>
          <w:rFonts w:hint="default" w:ascii="Times New Roman" w:hAnsi="Times New Roman" w:eastAsia="方正小标宋简体" w:cs="Times New Roman"/>
          <w:color w:val="auto"/>
          <w:kern w:val="0"/>
          <w:sz w:val="30"/>
          <w:szCs w:val="30"/>
          <w:lang w:val="en-US" w:eastAsia="zh-CN"/>
        </w:rPr>
        <w:t>衡阳技师学院2022年度部门整体支出绩效评价基础数据表</w:t>
      </w:r>
    </w:p>
    <w:p w14:paraId="046DCA25">
      <w:pPr>
        <w:widowControl/>
        <w:tabs>
          <w:tab w:val="left" w:pos="3611"/>
          <w:tab w:val="left" w:pos="4791"/>
          <w:tab w:val="left" w:pos="6195"/>
          <w:tab w:val="left" w:pos="7071"/>
          <w:tab w:val="left" w:pos="8191"/>
          <w:tab w:val="left" w:pos="9311"/>
        </w:tabs>
        <w:ind w:left="91"/>
        <w:jc w:val="left"/>
        <w:rPr>
          <w:rFonts w:hint="default" w:ascii="Times New Roman" w:hAnsi="Times New Roman" w:eastAsia="仿宋" w:cs="Times New Roman"/>
          <w:color w:val="auto"/>
          <w:kern w:val="0"/>
          <w:sz w:val="24"/>
        </w:rPr>
      </w:pPr>
      <w:r>
        <w:rPr>
          <w:rFonts w:hint="default" w:ascii="Times New Roman" w:hAnsi="Times New Roman" w:eastAsia="仿宋" w:cs="Times New Roman"/>
          <w:color w:val="auto"/>
          <w:kern w:val="0"/>
          <w:sz w:val="24"/>
        </w:rPr>
        <w:t>填报单位：</w:t>
      </w:r>
      <w:r>
        <w:rPr>
          <w:rFonts w:hint="default" w:ascii="Times New Roman" w:hAnsi="Times New Roman" w:eastAsia="仿宋" w:cs="Times New Roman"/>
          <w:color w:val="auto"/>
          <w:kern w:val="0"/>
          <w:sz w:val="24"/>
        </w:rPr>
        <w:tab/>
      </w:r>
      <w:r>
        <w:rPr>
          <w:rFonts w:hint="default" w:ascii="Times New Roman" w:hAnsi="Times New Roman" w:eastAsia="仿宋" w:cs="Times New Roman"/>
          <w:color w:val="auto"/>
          <w:kern w:val="0"/>
          <w:sz w:val="24"/>
        </w:rPr>
        <w:tab/>
      </w:r>
      <w:r>
        <w:rPr>
          <w:rFonts w:hint="default" w:ascii="Times New Roman" w:hAnsi="Times New Roman" w:eastAsia="仿宋" w:cs="Times New Roman"/>
          <w:color w:val="auto"/>
          <w:kern w:val="0"/>
          <w:sz w:val="24"/>
        </w:rPr>
        <w:tab/>
      </w:r>
      <w:r>
        <w:rPr>
          <w:rFonts w:hint="default" w:ascii="Times New Roman" w:hAnsi="Times New Roman" w:eastAsia="仿宋" w:cs="Times New Roman"/>
          <w:color w:val="auto"/>
          <w:kern w:val="0"/>
          <w:sz w:val="24"/>
        </w:rPr>
        <w:t>金额单位：万元</w:t>
      </w:r>
      <w:r>
        <w:rPr>
          <w:rFonts w:hint="default" w:ascii="Times New Roman" w:hAnsi="Times New Roman" w:eastAsia="仿宋" w:cs="Times New Roman"/>
          <w:color w:val="auto"/>
          <w:kern w:val="0"/>
          <w:sz w:val="24"/>
        </w:rPr>
        <w:tab/>
      </w:r>
    </w:p>
    <w:tbl>
      <w:tblPr>
        <w:tblStyle w:val="9"/>
        <w:tblW w:w="5241" w:type="pct"/>
        <w:jc w:val="center"/>
        <w:tblLayout w:type="autofit"/>
        <w:tblCellMar>
          <w:top w:w="0" w:type="dxa"/>
          <w:left w:w="108" w:type="dxa"/>
          <w:bottom w:w="0" w:type="dxa"/>
          <w:right w:w="108" w:type="dxa"/>
        </w:tblCellMar>
      </w:tblPr>
      <w:tblGrid>
        <w:gridCol w:w="3924"/>
        <w:gridCol w:w="1492"/>
        <w:gridCol w:w="2288"/>
        <w:gridCol w:w="1701"/>
      </w:tblGrid>
      <w:tr w14:paraId="73AEB418">
        <w:tblPrEx>
          <w:tblCellMar>
            <w:top w:w="0" w:type="dxa"/>
            <w:left w:w="108" w:type="dxa"/>
            <w:bottom w:w="0" w:type="dxa"/>
            <w:right w:w="108" w:type="dxa"/>
          </w:tblCellMar>
        </w:tblPrEx>
        <w:trPr>
          <w:trHeight w:val="363" w:hRule="atLeast"/>
          <w:jc w:val="center"/>
        </w:trPr>
        <w:tc>
          <w:tcPr>
            <w:tcW w:w="2086" w:type="pct"/>
            <w:vMerge w:val="restart"/>
            <w:tcBorders>
              <w:top w:val="single" w:color="auto" w:sz="4" w:space="0"/>
              <w:left w:val="single" w:color="auto" w:sz="4" w:space="0"/>
              <w:right w:val="single" w:color="auto" w:sz="4" w:space="0"/>
            </w:tcBorders>
            <w:noWrap w:val="0"/>
            <w:vAlign w:val="center"/>
          </w:tcPr>
          <w:p w14:paraId="69ABA12C">
            <w:pPr>
              <w:widowControl/>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财政供养人员情况</w:t>
            </w:r>
          </w:p>
        </w:tc>
        <w:tc>
          <w:tcPr>
            <w:tcW w:w="793" w:type="pct"/>
            <w:tcBorders>
              <w:top w:val="single" w:color="auto" w:sz="4" w:space="0"/>
              <w:left w:val="nil"/>
              <w:bottom w:val="single" w:color="auto" w:sz="4" w:space="0"/>
              <w:right w:val="single" w:color="auto" w:sz="4" w:space="0"/>
            </w:tcBorders>
            <w:noWrap w:val="0"/>
            <w:vAlign w:val="center"/>
          </w:tcPr>
          <w:p w14:paraId="13D4264C">
            <w:pPr>
              <w:widowControl/>
              <w:jc w:val="center"/>
              <w:rPr>
                <w:rFonts w:hint="default" w:ascii="Times New Roman" w:hAnsi="Times New Roman" w:eastAsia="仿宋" w:cs="Times New Roman"/>
                <w:bCs/>
                <w:color w:val="auto"/>
                <w:kern w:val="0"/>
                <w:szCs w:val="21"/>
              </w:rPr>
            </w:pPr>
            <w:r>
              <w:rPr>
                <w:rFonts w:hint="default" w:ascii="Times New Roman" w:hAnsi="Times New Roman" w:eastAsia="仿宋" w:cs="Times New Roman"/>
                <w:bCs/>
                <w:color w:val="auto"/>
                <w:kern w:val="0"/>
                <w:szCs w:val="21"/>
              </w:rPr>
              <w:t>编制数</w:t>
            </w:r>
          </w:p>
        </w:tc>
        <w:tc>
          <w:tcPr>
            <w:tcW w:w="1216" w:type="pct"/>
            <w:tcBorders>
              <w:top w:val="single" w:color="auto" w:sz="4" w:space="0"/>
              <w:left w:val="nil"/>
              <w:bottom w:val="single" w:color="auto" w:sz="4" w:space="0"/>
              <w:right w:val="single" w:color="auto" w:sz="4" w:space="0"/>
            </w:tcBorders>
            <w:noWrap w:val="0"/>
            <w:vAlign w:val="center"/>
          </w:tcPr>
          <w:p w14:paraId="03CC98F4">
            <w:pPr>
              <w:widowControl/>
              <w:jc w:val="center"/>
              <w:rPr>
                <w:rFonts w:hint="default" w:ascii="Times New Roman" w:hAnsi="Times New Roman" w:eastAsia="仿宋" w:cs="Times New Roman"/>
                <w:bCs/>
                <w:color w:val="auto"/>
                <w:kern w:val="0"/>
                <w:szCs w:val="21"/>
              </w:rPr>
            </w:pPr>
            <w:r>
              <w:rPr>
                <w:rFonts w:hint="default" w:ascii="Times New Roman" w:hAnsi="Times New Roman" w:eastAsia="仿宋" w:cs="Times New Roman"/>
                <w:bCs/>
                <w:color w:val="auto"/>
                <w:kern w:val="0"/>
                <w:szCs w:val="21"/>
              </w:rPr>
              <w:t>202</w:t>
            </w:r>
            <w:r>
              <w:rPr>
                <w:rFonts w:hint="default" w:ascii="Times New Roman" w:hAnsi="Times New Roman" w:eastAsia="仿宋" w:cs="Times New Roman"/>
                <w:bCs/>
                <w:color w:val="auto"/>
                <w:kern w:val="0"/>
                <w:szCs w:val="21"/>
                <w:lang w:val="en-US" w:eastAsia="zh-CN"/>
              </w:rPr>
              <w:t>2</w:t>
            </w:r>
            <w:r>
              <w:rPr>
                <w:rFonts w:hint="default" w:ascii="Times New Roman" w:hAnsi="Times New Roman" w:eastAsia="仿宋" w:cs="Times New Roman"/>
                <w:bCs/>
                <w:color w:val="auto"/>
                <w:kern w:val="0"/>
                <w:szCs w:val="21"/>
              </w:rPr>
              <w:t>年实际在职人数</w:t>
            </w:r>
          </w:p>
        </w:tc>
        <w:tc>
          <w:tcPr>
            <w:tcW w:w="903" w:type="pct"/>
            <w:tcBorders>
              <w:top w:val="single" w:color="auto" w:sz="4" w:space="0"/>
              <w:left w:val="nil"/>
              <w:bottom w:val="single" w:color="auto" w:sz="4" w:space="0"/>
              <w:right w:val="single" w:color="auto" w:sz="4" w:space="0"/>
            </w:tcBorders>
            <w:noWrap w:val="0"/>
            <w:vAlign w:val="center"/>
          </w:tcPr>
          <w:p w14:paraId="0BC96569">
            <w:pPr>
              <w:widowControl/>
              <w:jc w:val="center"/>
              <w:rPr>
                <w:rFonts w:hint="default" w:ascii="Times New Roman" w:hAnsi="Times New Roman" w:eastAsia="仿宋" w:cs="Times New Roman"/>
                <w:bCs/>
                <w:color w:val="auto"/>
                <w:kern w:val="0"/>
                <w:szCs w:val="21"/>
              </w:rPr>
            </w:pPr>
            <w:r>
              <w:rPr>
                <w:rFonts w:hint="default" w:ascii="Times New Roman" w:hAnsi="Times New Roman" w:eastAsia="仿宋" w:cs="Times New Roman"/>
                <w:bCs/>
                <w:color w:val="auto"/>
                <w:kern w:val="0"/>
                <w:szCs w:val="21"/>
              </w:rPr>
              <w:t>控制率</w:t>
            </w:r>
          </w:p>
        </w:tc>
      </w:tr>
      <w:tr w14:paraId="04C8DDC0">
        <w:tblPrEx>
          <w:tblCellMar>
            <w:top w:w="0" w:type="dxa"/>
            <w:left w:w="108" w:type="dxa"/>
            <w:bottom w:w="0" w:type="dxa"/>
            <w:right w:w="108" w:type="dxa"/>
          </w:tblCellMar>
        </w:tblPrEx>
        <w:trPr>
          <w:trHeight w:val="363" w:hRule="atLeast"/>
          <w:jc w:val="center"/>
        </w:trPr>
        <w:tc>
          <w:tcPr>
            <w:tcW w:w="2086" w:type="pct"/>
            <w:vMerge w:val="continue"/>
            <w:tcBorders>
              <w:left w:val="single" w:color="auto" w:sz="4" w:space="0"/>
              <w:bottom w:val="single" w:color="auto" w:sz="4" w:space="0"/>
              <w:right w:val="single" w:color="auto" w:sz="4" w:space="0"/>
            </w:tcBorders>
            <w:noWrap w:val="0"/>
            <w:vAlign w:val="center"/>
          </w:tcPr>
          <w:p w14:paraId="737C1D55">
            <w:pPr>
              <w:widowControl/>
              <w:jc w:val="center"/>
              <w:rPr>
                <w:rFonts w:hint="default" w:ascii="Times New Roman" w:hAnsi="Times New Roman" w:eastAsia="仿宋" w:cs="Times New Roman"/>
                <w:color w:val="auto"/>
                <w:kern w:val="0"/>
                <w:szCs w:val="21"/>
              </w:rPr>
            </w:pPr>
          </w:p>
        </w:tc>
        <w:tc>
          <w:tcPr>
            <w:tcW w:w="793" w:type="pct"/>
            <w:tcBorders>
              <w:top w:val="single" w:color="auto" w:sz="4" w:space="0"/>
              <w:left w:val="nil"/>
              <w:bottom w:val="single" w:color="auto" w:sz="4" w:space="0"/>
              <w:right w:val="single" w:color="auto" w:sz="4" w:space="0"/>
            </w:tcBorders>
            <w:noWrap w:val="0"/>
            <w:vAlign w:val="center"/>
          </w:tcPr>
          <w:p w14:paraId="4D465379">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867</w:t>
            </w:r>
          </w:p>
        </w:tc>
        <w:tc>
          <w:tcPr>
            <w:tcW w:w="1216" w:type="pct"/>
            <w:tcBorders>
              <w:top w:val="single" w:color="auto" w:sz="4" w:space="0"/>
              <w:left w:val="nil"/>
              <w:bottom w:val="single" w:color="auto" w:sz="4" w:space="0"/>
              <w:right w:val="single" w:color="auto" w:sz="4" w:space="0"/>
            </w:tcBorders>
            <w:noWrap w:val="0"/>
            <w:vAlign w:val="center"/>
          </w:tcPr>
          <w:p w14:paraId="566BA73F">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737</w:t>
            </w:r>
          </w:p>
        </w:tc>
        <w:tc>
          <w:tcPr>
            <w:tcW w:w="903" w:type="pct"/>
            <w:tcBorders>
              <w:top w:val="single" w:color="auto" w:sz="4" w:space="0"/>
              <w:left w:val="nil"/>
              <w:bottom w:val="single" w:color="auto" w:sz="4" w:space="0"/>
              <w:right w:val="single" w:color="auto" w:sz="4" w:space="0"/>
            </w:tcBorders>
            <w:noWrap w:val="0"/>
            <w:vAlign w:val="center"/>
          </w:tcPr>
          <w:p w14:paraId="749B7C9A">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85.01%</w:t>
            </w:r>
          </w:p>
        </w:tc>
      </w:tr>
      <w:tr w14:paraId="303F61AD">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6E61D004">
            <w:pPr>
              <w:widowControl/>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经费控制情况</w:t>
            </w:r>
          </w:p>
        </w:tc>
        <w:tc>
          <w:tcPr>
            <w:tcW w:w="793" w:type="pct"/>
            <w:tcBorders>
              <w:top w:val="single" w:color="auto" w:sz="4" w:space="0"/>
              <w:left w:val="nil"/>
              <w:bottom w:val="single" w:color="auto" w:sz="4" w:space="0"/>
              <w:right w:val="single" w:color="000000" w:sz="4" w:space="0"/>
            </w:tcBorders>
            <w:noWrap w:val="0"/>
            <w:vAlign w:val="center"/>
          </w:tcPr>
          <w:p w14:paraId="181206DC">
            <w:pPr>
              <w:widowControl/>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202</w:t>
            </w:r>
            <w:r>
              <w:rPr>
                <w:rFonts w:hint="default" w:ascii="Times New Roman" w:hAnsi="Times New Roman" w:eastAsia="仿宋" w:cs="Times New Roman"/>
                <w:color w:val="auto"/>
                <w:kern w:val="0"/>
                <w:szCs w:val="21"/>
                <w:lang w:val="en-US" w:eastAsia="zh-CN"/>
              </w:rPr>
              <w:t>1</w:t>
            </w:r>
            <w:r>
              <w:rPr>
                <w:rFonts w:hint="default" w:ascii="Times New Roman" w:hAnsi="Times New Roman" w:eastAsia="仿宋" w:cs="Times New Roman"/>
                <w:color w:val="auto"/>
                <w:kern w:val="0"/>
                <w:szCs w:val="21"/>
              </w:rPr>
              <w:t>年决算数</w:t>
            </w:r>
          </w:p>
        </w:tc>
        <w:tc>
          <w:tcPr>
            <w:tcW w:w="1216" w:type="pct"/>
            <w:tcBorders>
              <w:top w:val="single" w:color="auto" w:sz="4" w:space="0"/>
              <w:left w:val="nil"/>
              <w:bottom w:val="single" w:color="auto" w:sz="4" w:space="0"/>
              <w:right w:val="single" w:color="000000" w:sz="4" w:space="0"/>
            </w:tcBorders>
            <w:noWrap w:val="0"/>
            <w:vAlign w:val="center"/>
          </w:tcPr>
          <w:p w14:paraId="624294C4">
            <w:pPr>
              <w:widowControl/>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202</w:t>
            </w:r>
            <w:r>
              <w:rPr>
                <w:rFonts w:hint="default" w:ascii="Times New Roman" w:hAnsi="Times New Roman" w:eastAsia="仿宋" w:cs="Times New Roman"/>
                <w:color w:val="auto"/>
                <w:kern w:val="0"/>
                <w:szCs w:val="21"/>
                <w:lang w:val="en-US" w:eastAsia="zh-CN"/>
              </w:rPr>
              <w:t>2</w:t>
            </w:r>
            <w:r>
              <w:rPr>
                <w:rFonts w:hint="default" w:ascii="Times New Roman" w:hAnsi="Times New Roman" w:eastAsia="仿宋" w:cs="Times New Roman"/>
                <w:color w:val="auto"/>
                <w:kern w:val="0"/>
                <w:szCs w:val="21"/>
              </w:rPr>
              <w:t>年预算数</w:t>
            </w:r>
          </w:p>
        </w:tc>
        <w:tc>
          <w:tcPr>
            <w:tcW w:w="903" w:type="pct"/>
            <w:tcBorders>
              <w:top w:val="single" w:color="auto" w:sz="4" w:space="0"/>
              <w:left w:val="nil"/>
              <w:bottom w:val="single" w:color="auto" w:sz="4" w:space="0"/>
              <w:right w:val="single" w:color="000000" w:sz="4" w:space="0"/>
            </w:tcBorders>
            <w:noWrap w:val="0"/>
            <w:vAlign w:val="center"/>
          </w:tcPr>
          <w:p w14:paraId="07F41D26">
            <w:pPr>
              <w:widowControl/>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202</w:t>
            </w:r>
            <w:r>
              <w:rPr>
                <w:rFonts w:hint="default" w:ascii="Times New Roman" w:hAnsi="Times New Roman" w:eastAsia="仿宋" w:cs="Times New Roman"/>
                <w:color w:val="auto"/>
                <w:kern w:val="0"/>
                <w:szCs w:val="21"/>
                <w:lang w:val="en-US" w:eastAsia="zh-CN"/>
              </w:rPr>
              <w:t>2</w:t>
            </w:r>
            <w:r>
              <w:rPr>
                <w:rFonts w:hint="default" w:ascii="Times New Roman" w:hAnsi="Times New Roman" w:eastAsia="仿宋" w:cs="Times New Roman"/>
                <w:color w:val="auto"/>
                <w:kern w:val="0"/>
                <w:szCs w:val="21"/>
              </w:rPr>
              <w:t>年决算数</w:t>
            </w:r>
          </w:p>
        </w:tc>
      </w:tr>
      <w:tr w14:paraId="59F7549E">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03D92A02">
            <w:pPr>
              <w:widowControl/>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一、部门基本支出</w:t>
            </w:r>
          </w:p>
        </w:tc>
        <w:tc>
          <w:tcPr>
            <w:tcW w:w="793" w:type="pct"/>
            <w:tcBorders>
              <w:top w:val="single" w:color="auto" w:sz="4" w:space="0"/>
              <w:left w:val="nil"/>
              <w:bottom w:val="single" w:color="auto" w:sz="4" w:space="0"/>
              <w:right w:val="single" w:color="000000" w:sz="4" w:space="0"/>
            </w:tcBorders>
            <w:noWrap w:val="0"/>
            <w:vAlign w:val="center"/>
          </w:tcPr>
          <w:p w14:paraId="16A5206A">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16,208.69</w:t>
            </w:r>
          </w:p>
        </w:tc>
        <w:tc>
          <w:tcPr>
            <w:tcW w:w="1216" w:type="pct"/>
            <w:tcBorders>
              <w:top w:val="single" w:color="auto" w:sz="4" w:space="0"/>
              <w:left w:val="nil"/>
              <w:bottom w:val="single" w:color="auto" w:sz="4" w:space="0"/>
              <w:right w:val="single" w:color="000000" w:sz="4" w:space="0"/>
            </w:tcBorders>
            <w:noWrap w:val="0"/>
            <w:vAlign w:val="center"/>
          </w:tcPr>
          <w:p w14:paraId="3A59A6D5">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12,162.40</w:t>
            </w:r>
          </w:p>
        </w:tc>
        <w:tc>
          <w:tcPr>
            <w:tcW w:w="903" w:type="pct"/>
            <w:tcBorders>
              <w:top w:val="single" w:color="auto" w:sz="4" w:space="0"/>
              <w:left w:val="nil"/>
              <w:bottom w:val="single" w:color="auto" w:sz="4" w:space="0"/>
              <w:right w:val="single" w:color="000000" w:sz="4" w:space="0"/>
            </w:tcBorders>
            <w:noWrap w:val="0"/>
            <w:vAlign w:val="center"/>
          </w:tcPr>
          <w:p w14:paraId="03D78245">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16,069.46</w:t>
            </w:r>
          </w:p>
        </w:tc>
      </w:tr>
      <w:tr w14:paraId="659ECDF4">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7E6B5888">
            <w:pPr>
              <w:widowControl/>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1、人员经费</w:t>
            </w:r>
          </w:p>
        </w:tc>
        <w:tc>
          <w:tcPr>
            <w:tcW w:w="793" w:type="pct"/>
            <w:tcBorders>
              <w:top w:val="single" w:color="auto" w:sz="4" w:space="0"/>
              <w:left w:val="nil"/>
              <w:bottom w:val="single" w:color="auto" w:sz="4" w:space="0"/>
              <w:right w:val="single" w:color="000000" w:sz="4" w:space="0"/>
            </w:tcBorders>
            <w:noWrap w:val="0"/>
            <w:vAlign w:val="center"/>
          </w:tcPr>
          <w:p w14:paraId="37B2FFC9">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10,801.75</w:t>
            </w:r>
          </w:p>
        </w:tc>
        <w:tc>
          <w:tcPr>
            <w:tcW w:w="1216" w:type="pct"/>
            <w:tcBorders>
              <w:top w:val="single" w:color="auto" w:sz="4" w:space="0"/>
              <w:left w:val="nil"/>
              <w:bottom w:val="single" w:color="auto" w:sz="4" w:space="0"/>
              <w:right w:val="single" w:color="000000" w:sz="4" w:space="0"/>
            </w:tcBorders>
            <w:noWrap w:val="0"/>
            <w:vAlign w:val="center"/>
          </w:tcPr>
          <w:p w14:paraId="4FFEA8AD">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11,636.86</w:t>
            </w:r>
          </w:p>
        </w:tc>
        <w:tc>
          <w:tcPr>
            <w:tcW w:w="903" w:type="pct"/>
            <w:tcBorders>
              <w:top w:val="single" w:color="auto" w:sz="4" w:space="0"/>
              <w:left w:val="nil"/>
              <w:bottom w:val="single" w:color="auto" w:sz="4" w:space="0"/>
              <w:right w:val="single" w:color="000000" w:sz="4" w:space="0"/>
            </w:tcBorders>
            <w:noWrap w:val="0"/>
            <w:vAlign w:val="center"/>
          </w:tcPr>
          <w:p w14:paraId="0792DDD9">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12,586.88</w:t>
            </w:r>
          </w:p>
        </w:tc>
      </w:tr>
      <w:tr w14:paraId="01C125A2">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69266872">
            <w:pPr>
              <w:widowControl/>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2、公用经费</w:t>
            </w:r>
          </w:p>
        </w:tc>
        <w:tc>
          <w:tcPr>
            <w:tcW w:w="793" w:type="pct"/>
            <w:tcBorders>
              <w:top w:val="single" w:color="auto" w:sz="4" w:space="0"/>
              <w:left w:val="nil"/>
              <w:bottom w:val="single" w:color="auto" w:sz="4" w:space="0"/>
              <w:right w:val="single" w:color="000000" w:sz="4" w:space="0"/>
            </w:tcBorders>
            <w:noWrap w:val="0"/>
            <w:vAlign w:val="center"/>
          </w:tcPr>
          <w:p w14:paraId="5DA66E68">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5,406.94</w:t>
            </w:r>
          </w:p>
        </w:tc>
        <w:tc>
          <w:tcPr>
            <w:tcW w:w="1216" w:type="pct"/>
            <w:tcBorders>
              <w:top w:val="single" w:color="auto" w:sz="4" w:space="0"/>
              <w:left w:val="nil"/>
              <w:bottom w:val="single" w:color="auto" w:sz="4" w:space="0"/>
              <w:right w:val="single" w:color="000000" w:sz="4" w:space="0"/>
            </w:tcBorders>
            <w:noWrap w:val="0"/>
            <w:vAlign w:val="center"/>
          </w:tcPr>
          <w:p w14:paraId="268C9EAB">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525.54</w:t>
            </w:r>
          </w:p>
        </w:tc>
        <w:tc>
          <w:tcPr>
            <w:tcW w:w="903" w:type="pct"/>
            <w:tcBorders>
              <w:top w:val="single" w:color="auto" w:sz="4" w:space="0"/>
              <w:left w:val="nil"/>
              <w:bottom w:val="single" w:color="auto" w:sz="4" w:space="0"/>
              <w:right w:val="single" w:color="000000" w:sz="4" w:space="0"/>
            </w:tcBorders>
            <w:noWrap w:val="0"/>
            <w:vAlign w:val="center"/>
          </w:tcPr>
          <w:p w14:paraId="32AC8B68">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3,482.58</w:t>
            </w:r>
          </w:p>
        </w:tc>
      </w:tr>
      <w:tr w14:paraId="4DF968DA">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248E1780">
            <w:pPr>
              <w:widowControl/>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    </w:t>
            </w:r>
            <w:r>
              <w:rPr>
                <w:rFonts w:hint="default" w:ascii="Times New Roman" w:hAnsi="Times New Roman" w:eastAsia="仿宋" w:cs="Times New Roman"/>
                <w:color w:val="auto"/>
                <w:kern w:val="0"/>
                <w:szCs w:val="21"/>
                <w:lang w:val="en-US" w:eastAsia="zh-CN"/>
              </w:rPr>
              <w:t>其中：三公经费</w:t>
            </w:r>
            <w:r>
              <w:rPr>
                <w:rFonts w:hint="default" w:ascii="Times New Roman" w:hAnsi="Times New Roman" w:eastAsia="仿宋" w:cs="Times New Roman"/>
                <w:color w:val="auto"/>
                <w:kern w:val="0"/>
                <w:szCs w:val="21"/>
              </w:rPr>
              <w:t xml:space="preserve">     </w:t>
            </w:r>
          </w:p>
        </w:tc>
        <w:tc>
          <w:tcPr>
            <w:tcW w:w="793" w:type="pct"/>
            <w:tcBorders>
              <w:top w:val="single" w:color="auto" w:sz="4" w:space="0"/>
              <w:left w:val="nil"/>
              <w:bottom w:val="single" w:color="auto" w:sz="4" w:space="0"/>
              <w:right w:val="single" w:color="000000" w:sz="4" w:space="0"/>
            </w:tcBorders>
            <w:noWrap w:val="0"/>
            <w:vAlign w:val="center"/>
          </w:tcPr>
          <w:p w14:paraId="66BB1997">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26.96</w:t>
            </w:r>
          </w:p>
        </w:tc>
        <w:tc>
          <w:tcPr>
            <w:tcW w:w="1216" w:type="pct"/>
            <w:tcBorders>
              <w:top w:val="single" w:color="auto" w:sz="4" w:space="0"/>
              <w:left w:val="nil"/>
              <w:bottom w:val="single" w:color="auto" w:sz="4" w:space="0"/>
              <w:right w:val="single" w:color="000000" w:sz="4" w:space="0"/>
            </w:tcBorders>
            <w:noWrap w:val="0"/>
            <w:vAlign w:val="center"/>
          </w:tcPr>
          <w:p w14:paraId="621921AB">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160.00</w:t>
            </w:r>
          </w:p>
        </w:tc>
        <w:tc>
          <w:tcPr>
            <w:tcW w:w="903" w:type="pct"/>
            <w:tcBorders>
              <w:top w:val="single" w:color="auto" w:sz="4" w:space="0"/>
              <w:left w:val="nil"/>
              <w:bottom w:val="single" w:color="auto" w:sz="4" w:space="0"/>
              <w:right w:val="single" w:color="000000" w:sz="4" w:space="0"/>
            </w:tcBorders>
            <w:noWrap w:val="0"/>
            <w:vAlign w:val="center"/>
          </w:tcPr>
          <w:p w14:paraId="219337FB">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41.35</w:t>
            </w:r>
          </w:p>
        </w:tc>
      </w:tr>
      <w:tr w14:paraId="7179541A">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45824522">
            <w:pPr>
              <w:widowControl/>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   </w:t>
            </w:r>
            <w:r>
              <w:rPr>
                <w:rFonts w:hint="default" w:ascii="Times New Roman" w:hAnsi="Times New Roman" w:eastAsia="仿宋" w:cs="Times New Roman"/>
                <w:color w:val="auto"/>
                <w:kern w:val="0"/>
                <w:szCs w:val="21"/>
                <w:lang w:eastAsia="zh-CN"/>
              </w:rPr>
              <w:t>（</w:t>
            </w:r>
            <w:r>
              <w:rPr>
                <w:rFonts w:hint="default" w:ascii="Times New Roman" w:hAnsi="Times New Roman" w:eastAsia="仿宋" w:cs="Times New Roman"/>
                <w:color w:val="auto"/>
                <w:kern w:val="0"/>
                <w:szCs w:val="21"/>
                <w:lang w:val="en-US" w:eastAsia="zh-CN"/>
              </w:rPr>
              <w:t>1</w:t>
            </w:r>
            <w:r>
              <w:rPr>
                <w:rFonts w:hint="default" w:ascii="Times New Roman" w:hAnsi="Times New Roman" w:eastAsia="仿宋" w:cs="Times New Roman"/>
                <w:color w:val="auto"/>
                <w:kern w:val="0"/>
                <w:szCs w:val="21"/>
                <w:lang w:eastAsia="zh-CN"/>
              </w:rPr>
              <w:t>）</w:t>
            </w:r>
            <w:r>
              <w:rPr>
                <w:rFonts w:hint="default" w:ascii="Times New Roman" w:hAnsi="Times New Roman" w:eastAsia="仿宋" w:cs="Times New Roman"/>
                <w:color w:val="auto"/>
                <w:kern w:val="0"/>
                <w:szCs w:val="21"/>
              </w:rPr>
              <w:t>公务用车购置和维护经费</w:t>
            </w:r>
          </w:p>
        </w:tc>
        <w:tc>
          <w:tcPr>
            <w:tcW w:w="793" w:type="pct"/>
            <w:tcBorders>
              <w:top w:val="single" w:color="auto" w:sz="4" w:space="0"/>
              <w:left w:val="nil"/>
              <w:bottom w:val="single" w:color="auto" w:sz="4" w:space="0"/>
              <w:right w:val="single" w:color="000000" w:sz="4" w:space="0"/>
            </w:tcBorders>
            <w:noWrap w:val="0"/>
            <w:vAlign w:val="center"/>
          </w:tcPr>
          <w:p w14:paraId="135B4519">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10.93</w:t>
            </w:r>
          </w:p>
        </w:tc>
        <w:tc>
          <w:tcPr>
            <w:tcW w:w="1216" w:type="pct"/>
            <w:tcBorders>
              <w:top w:val="single" w:color="auto" w:sz="4" w:space="0"/>
              <w:left w:val="nil"/>
              <w:bottom w:val="single" w:color="auto" w:sz="4" w:space="0"/>
              <w:right w:val="single" w:color="000000" w:sz="4" w:space="0"/>
            </w:tcBorders>
            <w:noWrap w:val="0"/>
            <w:vAlign w:val="center"/>
          </w:tcPr>
          <w:p w14:paraId="0D0FC6EC">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80.00</w:t>
            </w:r>
          </w:p>
        </w:tc>
        <w:tc>
          <w:tcPr>
            <w:tcW w:w="903" w:type="pct"/>
            <w:tcBorders>
              <w:top w:val="single" w:color="auto" w:sz="4" w:space="0"/>
              <w:left w:val="nil"/>
              <w:bottom w:val="single" w:color="auto" w:sz="4" w:space="0"/>
              <w:right w:val="single" w:color="000000" w:sz="4" w:space="0"/>
            </w:tcBorders>
            <w:noWrap w:val="0"/>
            <w:vAlign w:val="center"/>
          </w:tcPr>
          <w:p w14:paraId="2BC17F44">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19.12</w:t>
            </w:r>
          </w:p>
        </w:tc>
      </w:tr>
      <w:tr w14:paraId="43497038">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09F0DDA2">
            <w:pPr>
              <w:widowControl/>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       其中：公车购置</w:t>
            </w:r>
          </w:p>
        </w:tc>
        <w:tc>
          <w:tcPr>
            <w:tcW w:w="793" w:type="pct"/>
            <w:tcBorders>
              <w:top w:val="single" w:color="auto" w:sz="4" w:space="0"/>
              <w:left w:val="nil"/>
              <w:bottom w:val="single" w:color="auto" w:sz="4" w:space="0"/>
              <w:right w:val="single" w:color="000000" w:sz="4" w:space="0"/>
            </w:tcBorders>
            <w:noWrap w:val="0"/>
            <w:vAlign w:val="center"/>
          </w:tcPr>
          <w:p w14:paraId="11FBCE12">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0.00　</w:t>
            </w:r>
          </w:p>
        </w:tc>
        <w:tc>
          <w:tcPr>
            <w:tcW w:w="1216" w:type="pct"/>
            <w:tcBorders>
              <w:top w:val="single" w:color="auto" w:sz="4" w:space="0"/>
              <w:left w:val="nil"/>
              <w:bottom w:val="single" w:color="auto" w:sz="4" w:space="0"/>
              <w:right w:val="single" w:color="000000" w:sz="4" w:space="0"/>
            </w:tcBorders>
            <w:noWrap w:val="0"/>
            <w:vAlign w:val="center"/>
          </w:tcPr>
          <w:p w14:paraId="7A4DBD56">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18.00</w:t>
            </w:r>
          </w:p>
        </w:tc>
        <w:tc>
          <w:tcPr>
            <w:tcW w:w="903" w:type="pct"/>
            <w:tcBorders>
              <w:top w:val="single" w:color="auto" w:sz="4" w:space="0"/>
              <w:left w:val="nil"/>
              <w:bottom w:val="single" w:color="auto" w:sz="4" w:space="0"/>
              <w:right w:val="single" w:color="000000" w:sz="4" w:space="0"/>
            </w:tcBorders>
            <w:noWrap w:val="0"/>
            <w:vAlign w:val="center"/>
          </w:tcPr>
          <w:p w14:paraId="5AF80261">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22.23</w:t>
            </w:r>
          </w:p>
        </w:tc>
      </w:tr>
      <w:tr w14:paraId="33A08DDA">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20703BD8">
            <w:pPr>
              <w:widowControl/>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             公车运行维护</w:t>
            </w:r>
          </w:p>
        </w:tc>
        <w:tc>
          <w:tcPr>
            <w:tcW w:w="793" w:type="pct"/>
            <w:tcBorders>
              <w:top w:val="single" w:color="auto" w:sz="4" w:space="0"/>
              <w:left w:val="nil"/>
              <w:bottom w:val="single" w:color="auto" w:sz="4" w:space="0"/>
              <w:right w:val="single" w:color="000000" w:sz="4" w:space="0"/>
            </w:tcBorders>
            <w:noWrap w:val="0"/>
            <w:vAlign w:val="center"/>
          </w:tcPr>
          <w:p w14:paraId="733FB7BB">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10.93</w:t>
            </w:r>
          </w:p>
        </w:tc>
        <w:tc>
          <w:tcPr>
            <w:tcW w:w="1216" w:type="pct"/>
            <w:tcBorders>
              <w:top w:val="single" w:color="auto" w:sz="4" w:space="0"/>
              <w:left w:val="nil"/>
              <w:bottom w:val="single" w:color="auto" w:sz="4" w:space="0"/>
              <w:right w:val="single" w:color="000000" w:sz="4" w:space="0"/>
            </w:tcBorders>
            <w:noWrap w:val="0"/>
            <w:vAlign w:val="center"/>
          </w:tcPr>
          <w:p w14:paraId="48F9568E">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62.00</w:t>
            </w:r>
          </w:p>
        </w:tc>
        <w:tc>
          <w:tcPr>
            <w:tcW w:w="903" w:type="pct"/>
            <w:tcBorders>
              <w:top w:val="single" w:color="auto" w:sz="4" w:space="0"/>
              <w:left w:val="nil"/>
              <w:bottom w:val="single" w:color="auto" w:sz="4" w:space="0"/>
              <w:right w:val="single" w:color="000000" w:sz="4" w:space="0"/>
            </w:tcBorders>
            <w:noWrap w:val="0"/>
            <w:vAlign w:val="center"/>
          </w:tcPr>
          <w:p w14:paraId="3263CB71">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11.44</w:t>
            </w:r>
          </w:p>
        </w:tc>
      </w:tr>
      <w:tr w14:paraId="3D32C41F">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5837E4D3">
            <w:pPr>
              <w:widowControl/>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   </w:t>
            </w:r>
            <w:r>
              <w:rPr>
                <w:rFonts w:hint="default" w:ascii="Times New Roman" w:hAnsi="Times New Roman" w:eastAsia="仿宋" w:cs="Times New Roman"/>
                <w:color w:val="auto"/>
                <w:kern w:val="0"/>
                <w:szCs w:val="21"/>
                <w:lang w:eastAsia="zh-CN"/>
              </w:rPr>
              <w:t>（</w:t>
            </w:r>
            <w:r>
              <w:rPr>
                <w:rFonts w:hint="default" w:ascii="Times New Roman" w:hAnsi="Times New Roman" w:eastAsia="仿宋" w:cs="Times New Roman"/>
                <w:color w:val="auto"/>
                <w:kern w:val="0"/>
                <w:szCs w:val="21"/>
                <w:lang w:val="en-US" w:eastAsia="zh-CN"/>
              </w:rPr>
              <w:t>2</w:t>
            </w:r>
            <w:r>
              <w:rPr>
                <w:rFonts w:hint="default" w:ascii="Times New Roman" w:hAnsi="Times New Roman" w:eastAsia="仿宋" w:cs="Times New Roman"/>
                <w:color w:val="auto"/>
                <w:kern w:val="0"/>
                <w:szCs w:val="21"/>
                <w:lang w:eastAsia="zh-CN"/>
              </w:rPr>
              <w:t>）</w:t>
            </w:r>
            <w:r>
              <w:rPr>
                <w:rFonts w:hint="default" w:ascii="Times New Roman" w:hAnsi="Times New Roman" w:eastAsia="仿宋" w:cs="Times New Roman"/>
                <w:color w:val="auto"/>
                <w:kern w:val="0"/>
                <w:szCs w:val="21"/>
              </w:rPr>
              <w:t>出国经费</w:t>
            </w:r>
          </w:p>
        </w:tc>
        <w:tc>
          <w:tcPr>
            <w:tcW w:w="793" w:type="pct"/>
            <w:tcBorders>
              <w:top w:val="single" w:color="auto" w:sz="4" w:space="0"/>
              <w:left w:val="nil"/>
              <w:bottom w:val="single" w:color="auto" w:sz="4" w:space="0"/>
              <w:right w:val="single" w:color="000000" w:sz="4" w:space="0"/>
            </w:tcBorders>
            <w:noWrap w:val="0"/>
            <w:vAlign w:val="center"/>
          </w:tcPr>
          <w:p w14:paraId="1F9512AD">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0.00　</w:t>
            </w:r>
          </w:p>
        </w:tc>
        <w:tc>
          <w:tcPr>
            <w:tcW w:w="1216" w:type="pct"/>
            <w:tcBorders>
              <w:top w:val="single" w:color="auto" w:sz="4" w:space="0"/>
              <w:left w:val="nil"/>
              <w:bottom w:val="single" w:color="auto" w:sz="4" w:space="0"/>
              <w:right w:val="single" w:color="000000" w:sz="4" w:space="0"/>
            </w:tcBorders>
            <w:noWrap w:val="0"/>
            <w:vAlign w:val="center"/>
          </w:tcPr>
          <w:p w14:paraId="206EA280">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20.00　</w:t>
            </w:r>
          </w:p>
        </w:tc>
        <w:tc>
          <w:tcPr>
            <w:tcW w:w="903" w:type="pct"/>
            <w:tcBorders>
              <w:top w:val="single" w:color="auto" w:sz="4" w:space="0"/>
              <w:left w:val="nil"/>
              <w:bottom w:val="single" w:color="auto" w:sz="4" w:space="0"/>
              <w:right w:val="single" w:color="000000" w:sz="4" w:space="0"/>
            </w:tcBorders>
            <w:noWrap w:val="0"/>
            <w:vAlign w:val="center"/>
          </w:tcPr>
          <w:p w14:paraId="3D69AF17">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0.00</w:t>
            </w:r>
          </w:p>
        </w:tc>
      </w:tr>
      <w:tr w14:paraId="3116DA58">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411990E9">
            <w:pPr>
              <w:widowControl/>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   </w:t>
            </w:r>
            <w:r>
              <w:rPr>
                <w:rFonts w:hint="default" w:ascii="Times New Roman" w:hAnsi="Times New Roman" w:eastAsia="仿宋" w:cs="Times New Roman"/>
                <w:color w:val="auto"/>
                <w:kern w:val="0"/>
                <w:szCs w:val="21"/>
                <w:lang w:eastAsia="zh-CN"/>
              </w:rPr>
              <w:t>（</w:t>
            </w:r>
            <w:r>
              <w:rPr>
                <w:rFonts w:hint="default" w:ascii="Times New Roman" w:hAnsi="Times New Roman" w:eastAsia="仿宋" w:cs="Times New Roman"/>
                <w:color w:val="auto"/>
                <w:kern w:val="0"/>
                <w:szCs w:val="21"/>
                <w:lang w:val="en-US" w:eastAsia="zh-CN"/>
              </w:rPr>
              <w:t>3</w:t>
            </w:r>
            <w:r>
              <w:rPr>
                <w:rFonts w:hint="default" w:ascii="Times New Roman" w:hAnsi="Times New Roman" w:eastAsia="仿宋" w:cs="Times New Roman"/>
                <w:color w:val="auto"/>
                <w:kern w:val="0"/>
                <w:szCs w:val="21"/>
                <w:lang w:eastAsia="zh-CN"/>
              </w:rPr>
              <w:t>）</w:t>
            </w:r>
            <w:r>
              <w:rPr>
                <w:rFonts w:hint="default" w:ascii="Times New Roman" w:hAnsi="Times New Roman" w:eastAsia="仿宋" w:cs="Times New Roman"/>
                <w:color w:val="auto"/>
                <w:kern w:val="0"/>
                <w:szCs w:val="21"/>
              </w:rPr>
              <w:t>公务接待</w:t>
            </w:r>
          </w:p>
        </w:tc>
        <w:tc>
          <w:tcPr>
            <w:tcW w:w="793" w:type="pct"/>
            <w:tcBorders>
              <w:top w:val="single" w:color="auto" w:sz="4" w:space="0"/>
              <w:left w:val="nil"/>
              <w:bottom w:val="single" w:color="auto" w:sz="4" w:space="0"/>
              <w:right w:val="single" w:color="000000" w:sz="4" w:space="0"/>
            </w:tcBorders>
            <w:noWrap w:val="0"/>
            <w:vAlign w:val="center"/>
          </w:tcPr>
          <w:p w14:paraId="4AEB23A7">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16.04</w:t>
            </w:r>
          </w:p>
        </w:tc>
        <w:tc>
          <w:tcPr>
            <w:tcW w:w="1216" w:type="pct"/>
            <w:tcBorders>
              <w:top w:val="single" w:color="auto" w:sz="4" w:space="0"/>
              <w:left w:val="nil"/>
              <w:bottom w:val="single" w:color="auto" w:sz="4" w:space="0"/>
              <w:right w:val="single" w:color="000000" w:sz="4" w:space="0"/>
            </w:tcBorders>
            <w:noWrap w:val="0"/>
            <w:vAlign w:val="center"/>
          </w:tcPr>
          <w:p w14:paraId="4DA85163">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60.00　</w:t>
            </w:r>
          </w:p>
        </w:tc>
        <w:tc>
          <w:tcPr>
            <w:tcW w:w="903" w:type="pct"/>
            <w:tcBorders>
              <w:top w:val="single" w:color="auto" w:sz="4" w:space="0"/>
              <w:left w:val="nil"/>
              <w:bottom w:val="single" w:color="auto" w:sz="4" w:space="0"/>
              <w:right w:val="single" w:color="000000" w:sz="4" w:space="0"/>
            </w:tcBorders>
            <w:noWrap w:val="0"/>
            <w:vAlign w:val="center"/>
          </w:tcPr>
          <w:p w14:paraId="38E2B0CA">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41.35</w:t>
            </w:r>
          </w:p>
        </w:tc>
      </w:tr>
      <w:tr w14:paraId="4A5BF12F">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702C3E94">
            <w:pPr>
              <w:widowControl/>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二、部门项目支出</w:t>
            </w:r>
          </w:p>
        </w:tc>
        <w:tc>
          <w:tcPr>
            <w:tcW w:w="793" w:type="pct"/>
            <w:tcBorders>
              <w:top w:val="single" w:color="auto" w:sz="4" w:space="0"/>
              <w:left w:val="nil"/>
              <w:bottom w:val="single" w:color="auto" w:sz="4" w:space="0"/>
              <w:right w:val="single" w:color="000000" w:sz="4" w:space="0"/>
            </w:tcBorders>
            <w:noWrap w:val="0"/>
            <w:vAlign w:val="center"/>
          </w:tcPr>
          <w:p w14:paraId="5D67656F">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2,561.89</w:t>
            </w:r>
          </w:p>
        </w:tc>
        <w:tc>
          <w:tcPr>
            <w:tcW w:w="1216" w:type="pct"/>
            <w:tcBorders>
              <w:top w:val="single" w:color="auto" w:sz="4" w:space="0"/>
              <w:left w:val="nil"/>
              <w:bottom w:val="single" w:color="auto" w:sz="4" w:space="0"/>
              <w:right w:val="single" w:color="000000" w:sz="4" w:space="0"/>
            </w:tcBorders>
            <w:noWrap w:val="0"/>
            <w:vAlign w:val="center"/>
          </w:tcPr>
          <w:p w14:paraId="54BCF281">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10,924.98</w:t>
            </w:r>
          </w:p>
        </w:tc>
        <w:tc>
          <w:tcPr>
            <w:tcW w:w="903" w:type="pct"/>
            <w:tcBorders>
              <w:top w:val="single" w:color="auto" w:sz="4" w:space="0"/>
              <w:left w:val="nil"/>
              <w:bottom w:val="single" w:color="auto" w:sz="4" w:space="0"/>
              <w:right w:val="single" w:color="000000" w:sz="4" w:space="0"/>
            </w:tcBorders>
            <w:noWrap w:val="0"/>
            <w:vAlign w:val="center"/>
          </w:tcPr>
          <w:p w14:paraId="0BA7B540">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3,480.68</w:t>
            </w:r>
          </w:p>
        </w:tc>
      </w:tr>
      <w:tr w14:paraId="3321EBA4">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09667447">
            <w:pPr>
              <w:widowControl/>
              <w:ind w:firstLine="210" w:firstLineChars="100"/>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1、</w:t>
            </w:r>
            <w:r>
              <w:rPr>
                <w:rFonts w:hint="default" w:ascii="Times New Roman" w:hAnsi="Times New Roman" w:eastAsia="仿宋" w:cs="Times New Roman"/>
                <w:color w:val="auto"/>
                <w:kern w:val="0"/>
                <w:szCs w:val="21"/>
                <w:lang w:eastAsia="zh-CN"/>
              </w:rPr>
              <w:t>衡阳市公共实训基地</w:t>
            </w:r>
          </w:p>
        </w:tc>
        <w:tc>
          <w:tcPr>
            <w:tcW w:w="793" w:type="pct"/>
            <w:tcBorders>
              <w:top w:val="single" w:color="auto" w:sz="4" w:space="0"/>
              <w:left w:val="nil"/>
              <w:bottom w:val="single" w:color="auto" w:sz="4" w:space="0"/>
              <w:right w:val="single" w:color="000000" w:sz="4" w:space="0"/>
            </w:tcBorders>
            <w:noWrap w:val="0"/>
            <w:vAlign w:val="center"/>
          </w:tcPr>
          <w:p w14:paraId="3EA3A47F">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2,327.94　</w:t>
            </w:r>
          </w:p>
        </w:tc>
        <w:tc>
          <w:tcPr>
            <w:tcW w:w="1216" w:type="pct"/>
            <w:tcBorders>
              <w:top w:val="single" w:color="auto" w:sz="4" w:space="0"/>
              <w:left w:val="nil"/>
              <w:bottom w:val="single" w:color="auto" w:sz="4" w:space="0"/>
              <w:right w:val="single" w:color="000000" w:sz="4" w:space="0"/>
            </w:tcBorders>
            <w:noWrap w:val="0"/>
            <w:vAlign w:val="center"/>
          </w:tcPr>
          <w:p w14:paraId="4A8957F9">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903" w:type="pct"/>
            <w:tcBorders>
              <w:top w:val="single" w:color="auto" w:sz="4" w:space="0"/>
              <w:left w:val="nil"/>
              <w:bottom w:val="single" w:color="auto" w:sz="4" w:space="0"/>
              <w:right w:val="single" w:color="000000" w:sz="4" w:space="0"/>
            </w:tcBorders>
            <w:noWrap w:val="0"/>
            <w:vAlign w:val="center"/>
          </w:tcPr>
          <w:p w14:paraId="63E0A77C">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r>
      <w:tr w14:paraId="601351E0">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2E2C89A5">
            <w:pPr>
              <w:widowControl/>
              <w:ind w:firstLine="210" w:firstLineChars="100"/>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2、</w:t>
            </w:r>
            <w:r>
              <w:rPr>
                <w:rFonts w:hint="default" w:ascii="Times New Roman" w:hAnsi="Times New Roman" w:eastAsia="仿宋" w:cs="Times New Roman"/>
                <w:color w:val="auto"/>
                <w:kern w:val="0"/>
                <w:szCs w:val="21"/>
                <w:lang w:eastAsia="zh-CN"/>
              </w:rPr>
              <w:t>东院老旧小区改造</w:t>
            </w:r>
          </w:p>
        </w:tc>
        <w:tc>
          <w:tcPr>
            <w:tcW w:w="793" w:type="pct"/>
            <w:tcBorders>
              <w:top w:val="single" w:color="auto" w:sz="4" w:space="0"/>
              <w:left w:val="nil"/>
              <w:bottom w:val="single" w:color="auto" w:sz="4" w:space="0"/>
              <w:right w:val="single" w:color="000000" w:sz="4" w:space="0"/>
            </w:tcBorders>
            <w:noWrap w:val="0"/>
            <w:vAlign w:val="center"/>
          </w:tcPr>
          <w:p w14:paraId="5ACC11E6">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233.95</w:t>
            </w:r>
          </w:p>
        </w:tc>
        <w:tc>
          <w:tcPr>
            <w:tcW w:w="1216" w:type="pct"/>
            <w:tcBorders>
              <w:top w:val="single" w:color="auto" w:sz="4" w:space="0"/>
              <w:left w:val="nil"/>
              <w:bottom w:val="single" w:color="auto" w:sz="4" w:space="0"/>
              <w:right w:val="single" w:color="000000" w:sz="4" w:space="0"/>
            </w:tcBorders>
            <w:noWrap w:val="0"/>
            <w:vAlign w:val="center"/>
          </w:tcPr>
          <w:p w14:paraId="643CA11F">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903" w:type="pct"/>
            <w:tcBorders>
              <w:top w:val="single" w:color="auto" w:sz="4" w:space="0"/>
              <w:left w:val="nil"/>
              <w:bottom w:val="single" w:color="auto" w:sz="4" w:space="0"/>
              <w:right w:val="single" w:color="000000" w:sz="4" w:space="0"/>
            </w:tcBorders>
            <w:noWrap w:val="0"/>
            <w:vAlign w:val="center"/>
          </w:tcPr>
          <w:p w14:paraId="7ABC40E9">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r>
      <w:tr w14:paraId="34CEC114">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5263DFCD">
            <w:pPr>
              <w:widowControl/>
              <w:ind w:firstLine="210" w:firstLineChars="100"/>
              <w:jc w:val="left"/>
              <w:rPr>
                <w:rFonts w:hint="default"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lang w:val="en-US" w:eastAsia="zh-CN"/>
              </w:rPr>
              <w:t>3、</w:t>
            </w:r>
            <w:r>
              <w:rPr>
                <w:rFonts w:hint="default" w:ascii="Times New Roman" w:hAnsi="Times New Roman" w:eastAsia="仿宋" w:cs="Times New Roman"/>
                <w:color w:val="auto"/>
                <w:kern w:val="0"/>
                <w:szCs w:val="21"/>
                <w:lang w:eastAsia="zh-CN"/>
              </w:rPr>
              <w:t>教学实训和学生管理经费</w:t>
            </w:r>
          </w:p>
        </w:tc>
        <w:tc>
          <w:tcPr>
            <w:tcW w:w="793" w:type="pct"/>
            <w:tcBorders>
              <w:top w:val="single" w:color="auto" w:sz="4" w:space="0"/>
              <w:left w:val="nil"/>
              <w:bottom w:val="single" w:color="auto" w:sz="4" w:space="0"/>
              <w:right w:val="single" w:color="000000" w:sz="4" w:space="0"/>
            </w:tcBorders>
            <w:noWrap w:val="0"/>
            <w:vAlign w:val="center"/>
          </w:tcPr>
          <w:p w14:paraId="0A0F32DE">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1216" w:type="pct"/>
            <w:tcBorders>
              <w:top w:val="single" w:color="auto" w:sz="4" w:space="0"/>
              <w:left w:val="nil"/>
              <w:bottom w:val="single" w:color="auto" w:sz="4" w:space="0"/>
              <w:right w:val="single" w:color="000000" w:sz="4" w:space="0"/>
            </w:tcBorders>
            <w:noWrap w:val="0"/>
            <w:vAlign w:val="center"/>
          </w:tcPr>
          <w:p w14:paraId="6AA00E5C">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4,022.15</w:t>
            </w:r>
          </w:p>
        </w:tc>
        <w:tc>
          <w:tcPr>
            <w:tcW w:w="903" w:type="pct"/>
            <w:tcBorders>
              <w:top w:val="single" w:color="auto" w:sz="4" w:space="0"/>
              <w:left w:val="nil"/>
              <w:bottom w:val="single" w:color="auto" w:sz="4" w:space="0"/>
              <w:right w:val="single" w:color="000000" w:sz="4" w:space="0"/>
            </w:tcBorders>
            <w:noWrap w:val="0"/>
            <w:vAlign w:val="center"/>
          </w:tcPr>
          <w:p w14:paraId="4E6CC90E">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　</w:t>
            </w:r>
          </w:p>
        </w:tc>
      </w:tr>
      <w:tr w14:paraId="665C0D98">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192D7437">
            <w:pPr>
              <w:widowControl/>
              <w:ind w:firstLine="210" w:firstLineChars="100"/>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4、学院建设和发展支出</w:t>
            </w:r>
          </w:p>
        </w:tc>
        <w:tc>
          <w:tcPr>
            <w:tcW w:w="793" w:type="pct"/>
            <w:tcBorders>
              <w:top w:val="single" w:color="auto" w:sz="4" w:space="0"/>
              <w:left w:val="nil"/>
              <w:bottom w:val="single" w:color="auto" w:sz="4" w:space="0"/>
              <w:right w:val="single" w:color="000000" w:sz="4" w:space="0"/>
            </w:tcBorders>
            <w:noWrap w:val="0"/>
            <w:vAlign w:val="center"/>
          </w:tcPr>
          <w:p w14:paraId="0D8D4F60">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1216" w:type="pct"/>
            <w:tcBorders>
              <w:top w:val="single" w:color="auto" w:sz="4" w:space="0"/>
              <w:left w:val="nil"/>
              <w:bottom w:val="single" w:color="auto" w:sz="4" w:space="0"/>
              <w:right w:val="single" w:color="000000" w:sz="4" w:space="0"/>
            </w:tcBorders>
            <w:noWrap w:val="0"/>
            <w:vAlign w:val="center"/>
          </w:tcPr>
          <w:p w14:paraId="3E62907F">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4,400.00</w:t>
            </w:r>
          </w:p>
        </w:tc>
        <w:tc>
          <w:tcPr>
            <w:tcW w:w="903" w:type="pct"/>
            <w:tcBorders>
              <w:top w:val="single" w:color="auto" w:sz="4" w:space="0"/>
              <w:left w:val="nil"/>
              <w:bottom w:val="single" w:color="auto" w:sz="4" w:space="0"/>
              <w:right w:val="single" w:color="000000" w:sz="4" w:space="0"/>
            </w:tcBorders>
            <w:noWrap w:val="0"/>
            <w:vAlign w:val="center"/>
          </w:tcPr>
          <w:p w14:paraId="4937F492">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r>
      <w:tr w14:paraId="50E411D0">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5FED6C74">
            <w:pPr>
              <w:widowControl/>
              <w:ind w:firstLine="210" w:firstLineChars="100"/>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5、债务利息支出</w:t>
            </w:r>
          </w:p>
        </w:tc>
        <w:tc>
          <w:tcPr>
            <w:tcW w:w="793" w:type="pct"/>
            <w:tcBorders>
              <w:top w:val="single" w:color="auto" w:sz="4" w:space="0"/>
              <w:left w:val="nil"/>
              <w:bottom w:val="single" w:color="auto" w:sz="4" w:space="0"/>
              <w:right w:val="single" w:color="000000" w:sz="4" w:space="0"/>
            </w:tcBorders>
            <w:noWrap w:val="0"/>
            <w:vAlign w:val="center"/>
          </w:tcPr>
          <w:p w14:paraId="5715DB6D">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1216" w:type="pct"/>
            <w:tcBorders>
              <w:top w:val="single" w:color="auto" w:sz="4" w:space="0"/>
              <w:left w:val="nil"/>
              <w:bottom w:val="single" w:color="auto" w:sz="4" w:space="0"/>
              <w:right w:val="single" w:color="000000" w:sz="4" w:space="0"/>
            </w:tcBorders>
            <w:noWrap w:val="0"/>
            <w:vAlign w:val="center"/>
          </w:tcPr>
          <w:p w14:paraId="37F25428">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1,900.00</w:t>
            </w:r>
          </w:p>
        </w:tc>
        <w:tc>
          <w:tcPr>
            <w:tcW w:w="903" w:type="pct"/>
            <w:tcBorders>
              <w:top w:val="single" w:color="auto" w:sz="4" w:space="0"/>
              <w:left w:val="nil"/>
              <w:bottom w:val="single" w:color="auto" w:sz="4" w:space="0"/>
              <w:right w:val="single" w:color="000000" w:sz="4" w:space="0"/>
            </w:tcBorders>
            <w:noWrap w:val="0"/>
            <w:vAlign w:val="center"/>
          </w:tcPr>
          <w:p w14:paraId="04D5B2B0">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446.57</w:t>
            </w:r>
          </w:p>
        </w:tc>
      </w:tr>
      <w:tr w14:paraId="6200E66F">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4B03F614">
            <w:pPr>
              <w:widowControl/>
              <w:ind w:firstLine="210" w:firstLineChars="100"/>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6、就业专项资金</w:t>
            </w:r>
          </w:p>
        </w:tc>
        <w:tc>
          <w:tcPr>
            <w:tcW w:w="793" w:type="pct"/>
            <w:tcBorders>
              <w:top w:val="single" w:color="auto" w:sz="4" w:space="0"/>
              <w:left w:val="nil"/>
              <w:bottom w:val="single" w:color="auto" w:sz="4" w:space="0"/>
              <w:right w:val="single" w:color="000000" w:sz="4" w:space="0"/>
            </w:tcBorders>
            <w:noWrap w:val="0"/>
            <w:vAlign w:val="center"/>
          </w:tcPr>
          <w:p w14:paraId="2049AB38">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p>
        </w:tc>
        <w:tc>
          <w:tcPr>
            <w:tcW w:w="1216" w:type="pct"/>
            <w:tcBorders>
              <w:top w:val="single" w:color="auto" w:sz="4" w:space="0"/>
              <w:left w:val="nil"/>
              <w:bottom w:val="single" w:color="auto" w:sz="4" w:space="0"/>
              <w:right w:val="single" w:color="000000" w:sz="4" w:space="0"/>
            </w:tcBorders>
            <w:noWrap w:val="0"/>
            <w:vAlign w:val="center"/>
          </w:tcPr>
          <w:p w14:paraId="07867B58">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155.00</w:t>
            </w:r>
          </w:p>
        </w:tc>
        <w:tc>
          <w:tcPr>
            <w:tcW w:w="903" w:type="pct"/>
            <w:tcBorders>
              <w:top w:val="single" w:color="auto" w:sz="4" w:space="0"/>
              <w:left w:val="nil"/>
              <w:bottom w:val="single" w:color="auto" w:sz="4" w:space="0"/>
              <w:right w:val="single" w:color="000000" w:sz="4" w:space="0"/>
            </w:tcBorders>
            <w:noWrap w:val="0"/>
            <w:vAlign w:val="center"/>
          </w:tcPr>
          <w:p w14:paraId="52428B02">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p>
        </w:tc>
      </w:tr>
      <w:tr w14:paraId="013C559A">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09C3A4F6">
            <w:pPr>
              <w:widowControl/>
              <w:ind w:firstLine="210" w:firstLineChars="100"/>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7、兵员预征预储试点工作经费</w:t>
            </w:r>
          </w:p>
        </w:tc>
        <w:tc>
          <w:tcPr>
            <w:tcW w:w="793" w:type="pct"/>
            <w:tcBorders>
              <w:top w:val="single" w:color="auto" w:sz="4" w:space="0"/>
              <w:left w:val="nil"/>
              <w:bottom w:val="single" w:color="auto" w:sz="4" w:space="0"/>
              <w:right w:val="single" w:color="000000" w:sz="4" w:space="0"/>
            </w:tcBorders>
            <w:noWrap w:val="0"/>
            <w:vAlign w:val="center"/>
          </w:tcPr>
          <w:p w14:paraId="00A52F7B">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p>
        </w:tc>
        <w:tc>
          <w:tcPr>
            <w:tcW w:w="1216" w:type="pct"/>
            <w:tcBorders>
              <w:top w:val="single" w:color="auto" w:sz="4" w:space="0"/>
              <w:left w:val="nil"/>
              <w:bottom w:val="single" w:color="auto" w:sz="4" w:space="0"/>
              <w:right w:val="single" w:color="000000" w:sz="4" w:space="0"/>
            </w:tcBorders>
            <w:noWrap w:val="0"/>
            <w:vAlign w:val="center"/>
          </w:tcPr>
          <w:p w14:paraId="063B28F5">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50.00</w:t>
            </w:r>
          </w:p>
        </w:tc>
        <w:tc>
          <w:tcPr>
            <w:tcW w:w="903" w:type="pct"/>
            <w:tcBorders>
              <w:top w:val="single" w:color="auto" w:sz="4" w:space="0"/>
              <w:left w:val="nil"/>
              <w:bottom w:val="single" w:color="auto" w:sz="4" w:space="0"/>
              <w:right w:val="single" w:color="000000" w:sz="4" w:space="0"/>
            </w:tcBorders>
            <w:noWrap w:val="0"/>
            <w:vAlign w:val="center"/>
          </w:tcPr>
          <w:p w14:paraId="70D12342">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p>
        </w:tc>
      </w:tr>
      <w:tr w14:paraId="0DFB1532">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7D730E4C">
            <w:pPr>
              <w:widowControl/>
              <w:ind w:firstLine="210" w:firstLineChars="100"/>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8、2022年第三批制造强省专项资金</w:t>
            </w:r>
          </w:p>
        </w:tc>
        <w:tc>
          <w:tcPr>
            <w:tcW w:w="793" w:type="pct"/>
            <w:tcBorders>
              <w:top w:val="single" w:color="auto" w:sz="4" w:space="0"/>
              <w:left w:val="nil"/>
              <w:bottom w:val="single" w:color="auto" w:sz="4" w:space="0"/>
              <w:right w:val="single" w:color="000000" w:sz="4" w:space="0"/>
            </w:tcBorders>
            <w:noWrap w:val="0"/>
            <w:vAlign w:val="center"/>
          </w:tcPr>
          <w:p w14:paraId="6BC5BD6C">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p>
        </w:tc>
        <w:tc>
          <w:tcPr>
            <w:tcW w:w="1216" w:type="pct"/>
            <w:tcBorders>
              <w:top w:val="single" w:color="auto" w:sz="4" w:space="0"/>
              <w:left w:val="nil"/>
              <w:bottom w:val="single" w:color="auto" w:sz="4" w:space="0"/>
              <w:right w:val="single" w:color="000000" w:sz="4" w:space="0"/>
            </w:tcBorders>
            <w:noWrap w:val="0"/>
            <w:vAlign w:val="center"/>
          </w:tcPr>
          <w:p w14:paraId="752C4F62">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70.00</w:t>
            </w:r>
          </w:p>
        </w:tc>
        <w:tc>
          <w:tcPr>
            <w:tcW w:w="903" w:type="pct"/>
            <w:tcBorders>
              <w:top w:val="single" w:color="auto" w:sz="4" w:space="0"/>
              <w:left w:val="nil"/>
              <w:bottom w:val="single" w:color="auto" w:sz="4" w:space="0"/>
              <w:right w:val="single" w:color="000000" w:sz="4" w:space="0"/>
            </w:tcBorders>
            <w:noWrap w:val="0"/>
            <w:vAlign w:val="center"/>
          </w:tcPr>
          <w:p w14:paraId="75AD7729">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p>
        </w:tc>
      </w:tr>
      <w:tr w14:paraId="5C942551">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4E214F84">
            <w:pPr>
              <w:widowControl/>
              <w:ind w:firstLine="210" w:firstLineChars="100"/>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9、2022年市县中职学校改善办学条件中央资金</w:t>
            </w:r>
          </w:p>
        </w:tc>
        <w:tc>
          <w:tcPr>
            <w:tcW w:w="793" w:type="pct"/>
            <w:tcBorders>
              <w:top w:val="single" w:color="auto" w:sz="4" w:space="0"/>
              <w:left w:val="nil"/>
              <w:bottom w:val="single" w:color="auto" w:sz="4" w:space="0"/>
              <w:right w:val="single" w:color="000000" w:sz="4" w:space="0"/>
            </w:tcBorders>
            <w:noWrap w:val="0"/>
            <w:vAlign w:val="center"/>
          </w:tcPr>
          <w:p w14:paraId="4ABE34F2">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p>
        </w:tc>
        <w:tc>
          <w:tcPr>
            <w:tcW w:w="1216" w:type="pct"/>
            <w:tcBorders>
              <w:top w:val="single" w:color="auto" w:sz="4" w:space="0"/>
              <w:left w:val="nil"/>
              <w:bottom w:val="single" w:color="auto" w:sz="4" w:space="0"/>
              <w:right w:val="single" w:color="000000" w:sz="4" w:space="0"/>
            </w:tcBorders>
            <w:noWrap w:val="0"/>
            <w:vAlign w:val="center"/>
          </w:tcPr>
          <w:p w14:paraId="66CB9D98">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311.00</w:t>
            </w:r>
          </w:p>
        </w:tc>
        <w:tc>
          <w:tcPr>
            <w:tcW w:w="903" w:type="pct"/>
            <w:tcBorders>
              <w:top w:val="single" w:color="auto" w:sz="4" w:space="0"/>
              <w:left w:val="nil"/>
              <w:bottom w:val="single" w:color="auto" w:sz="4" w:space="0"/>
              <w:right w:val="single" w:color="000000" w:sz="4" w:space="0"/>
            </w:tcBorders>
            <w:noWrap w:val="0"/>
            <w:vAlign w:val="center"/>
          </w:tcPr>
          <w:p w14:paraId="6C78FB8D">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p>
        </w:tc>
      </w:tr>
      <w:tr w14:paraId="63F9F9BA">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5E2BDBFC">
            <w:pPr>
              <w:widowControl/>
              <w:ind w:firstLine="210" w:firstLineChars="100"/>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10、公共实训基地配套设施</w:t>
            </w:r>
          </w:p>
        </w:tc>
        <w:tc>
          <w:tcPr>
            <w:tcW w:w="793" w:type="pct"/>
            <w:tcBorders>
              <w:top w:val="single" w:color="auto" w:sz="4" w:space="0"/>
              <w:left w:val="nil"/>
              <w:bottom w:val="single" w:color="auto" w:sz="4" w:space="0"/>
              <w:right w:val="single" w:color="000000" w:sz="4" w:space="0"/>
            </w:tcBorders>
            <w:noWrap w:val="0"/>
            <w:vAlign w:val="center"/>
          </w:tcPr>
          <w:p w14:paraId="428F39D7">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1216" w:type="pct"/>
            <w:tcBorders>
              <w:top w:val="single" w:color="auto" w:sz="4" w:space="0"/>
              <w:left w:val="nil"/>
              <w:bottom w:val="single" w:color="auto" w:sz="4" w:space="0"/>
              <w:right w:val="single" w:color="000000" w:sz="4" w:space="0"/>
            </w:tcBorders>
            <w:noWrap w:val="0"/>
            <w:vAlign w:val="center"/>
          </w:tcPr>
          <w:p w14:paraId="144435A4">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903" w:type="pct"/>
            <w:tcBorders>
              <w:top w:val="single" w:color="auto" w:sz="4" w:space="0"/>
              <w:left w:val="nil"/>
              <w:bottom w:val="single" w:color="auto" w:sz="4" w:space="0"/>
              <w:right w:val="single" w:color="000000" w:sz="4" w:space="0"/>
            </w:tcBorders>
            <w:noWrap w:val="0"/>
            <w:vAlign w:val="center"/>
          </w:tcPr>
          <w:p w14:paraId="0D755974">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1,996.34</w:t>
            </w:r>
          </w:p>
        </w:tc>
      </w:tr>
      <w:tr w14:paraId="484BF19F">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237FE714">
            <w:pPr>
              <w:widowControl/>
              <w:ind w:firstLine="210" w:firstLineChars="100"/>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11、高技能人才项目建设</w:t>
            </w:r>
          </w:p>
        </w:tc>
        <w:tc>
          <w:tcPr>
            <w:tcW w:w="793" w:type="pct"/>
            <w:tcBorders>
              <w:top w:val="single" w:color="auto" w:sz="4" w:space="0"/>
              <w:left w:val="nil"/>
              <w:bottom w:val="single" w:color="auto" w:sz="4" w:space="0"/>
              <w:right w:val="single" w:color="000000" w:sz="4" w:space="0"/>
            </w:tcBorders>
            <w:noWrap w:val="0"/>
            <w:vAlign w:val="center"/>
          </w:tcPr>
          <w:p w14:paraId="0D1D3559">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1216" w:type="pct"/>
            <w:tcBorders>
              <w:top w:val="single" w:color="auto" w:sz="4" w:space="0"/>
              <w:left w:val="nil"/>
              <w:bottom w:val="single" w:color="auto" w:sz="4" w:space="0"/>
              <w:right w:val="single" w:color="000000" w:sz="4" w:space="0"/>
            </w:tcBorders>
            <w:noWrap w:val="0"/>
            <w:vAlign w:val="center"/>
          </w:tcPr>
          <w:p w14:paraId="309618DD">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903" w:type="pct"/>
            <w:tcBorders>
              <w:top w:val="single" w:color="auto" w:sz="4" w:space="0"/>
              <w:left w:val="nil"/>
              <w:bottom w:val="single" w:color="auto" w:sz="4" w:space="0"/>
              <w:right w:val="single" w:color="000000" w:sz="4" w:space="0"/>
            </w:tcBorders>
            <w:noWrap w:val="0"/>
            <w:vAlign w:val="center"/>
          </w:tcPr>
          <w:p w14:paraId="42A8EFF9">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2.58</w:t>
            </w:r>
          </w:p>
        </w:tc>
      </w:tr>
      <w:tr w14:paraId="2527C25A">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0C30C0EB">
            <w:pPr>
              <w:widowControl/>
              <w:ind w:firstLine="210" w:firstLineChars="100"/>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12、高技能数控项目</w:t>
            </w:r>
          </w:p>
        </w:tc>
        <w:tc>
          <w:tcPr>
            <w:tcW w:w="793" w:type="pct"/>
            <w:tcBorders>
              <w:top w:val="single" w:color="auto" w:sz="4" w:space="0"/>
              <w:left w:val="nil"/>
              <w:bottom w:val="single" w:color="auto" w:sz="4" w:space="0"/>
              <w:right w:val="single" w:color="000000" w:sz="4" w:space="0"/>
            </w:tcBorders>
            <w:noWrap w:val="0"/>
            <w:vAlign w:val="center"/>
          </w:tcPr>
          <w:p w14:paraId="3BCD058C">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1216" w:type="pct"/>
            <w:tcBorders>
              <w:top w:val="single" w:color="auto" w:sz="4" w:space="0"/>
              <w:left w:val="nil"/>
              <w:bottom w:val="single" w:color="auto" w:sz="4" w:space="0"/>
              <w:right w:val="single" w:color="000000" w:sz="4" w:space="0"/>
            </w:tcBorders>
            <w:noWrap w:val="0"/>
            <w:vAlign w:val="center"/>
          </w:tcPr>
          <w:p w14:paraId="7D488235">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903" w:type="pct"/>
            <w:tcBorders>
              <w:top w:val="single" w:color="auto" w:sz="4" w:space="0"/>
              <w:left w:val="nil"/>
              <w:bottom w:val="single" w:color="auto" w:sz="4" w:space="0"/>
              <w:right w:val="single" w:color="000000" w:sz="4" w:space="0"/>
            </w:tcBorders>
            <w:noWrap w:val="0"/>
            <w:vAlign w:val="center"/>
          </w:tcPr>
          <w:p w14:paraId="131EF437">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438.57</w:t>
            </w:r>
          </w:p>
        </w:tc>
      </w:tr>
      <w:tr w14:paraId="5CC2AE67">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4BF0CB2B">
            <w:pPr>
              <w:widowControl/>
              <w:ind w:firstLine="210" w:firstLineChars="100"/>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13、公共实训基地光电技术</w:t>
            </w:r>
          </w:p>
        </w:tc>
        <w:tc>
          <w:tcPr>
            <w:tcW w:w="793" w:type="pct"/>
            <w:tcBorders>
              <w:top w:val="single" w:color="auto" w:sz="4" w:space="0"/>
              <w:left w:val="nil"/>
              <w:bottom w:val="single" w:color="auto" w:sz="4" w:space="0"/>
              <w:right w:val="single" w:color="000000" w:sz="4" w:space="0"/>
            </w:tcBorders>
            <w:noWrap w:val="0"/>
            <w:vAlign w:val="center"/>
          </w:tcPr>
          <w:p w14:paraId="5F56F90B">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1216" w:type="pct"/>
            <w:tcBorders>
              <w:top w:val="single" w:color="auto" w:sz="4" w:space="0"/>
              <w:left w:val="nil"/>
              <w:bottom w:val="single" w:color="auto" w:sz="4" w:space="0"/>
              <w:right w:val="single" w:color="000000" w:sz="4" w:space="0"/>
            </w:tcBorders>
            <w:noWrap w:val="0"/>
            <w:vAlign w:val="center"/>
          </w:tcPr>
          <w:p w14:paraId="3D189035">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w:t>
            </w:r>
          </w:p>
        </w:tc>
        <w:tc>
          <w:tcPr>
            <w:tcW w:w="903" w:type="pct"/>
            <w:tcBorders>
              <w:top w:val="single" w:color="auto" w:sz="4" w:space="0"/>
              <w:left w:val="nil"/>
              <w:bottom w:val="single" w:color="auto" w:sz="4" w:space="0"/>
              <w:right w:val="single" w:color="000000" w:sz="4" w:space="0"/>
            </w:tcBorders>
            <w:noWrap w:val="0"/>
            <w:vAlign w:val="center"/>
          </w:tcPr>
          <w:p w14:paraId="1274A5D6">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596.61</w:t>
            </w:r>
          </w:p>
        </w:tc>
      </w:tr>
      <w:tr w14:paraId="7E30CC44">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2C459EEB">
            <w:pPr>
              <w:widowControl/>
              <w:ind w:firstLine="210" w:firstLineChars="100"/>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14、其他</w:t>
            </w:r>
          </w:p>
        </w:tc>
        <w:tc>
          <w:tcPr>
            <w:tcW w:w="793" w:type="pct"/>
            <w:tcBorders>
              <w:top w:val="single" w:color="auto" w:sz="4" w:space="0"/>
              <w:left w:val="nil"/>
              <w:bottom w:val="single" w:color="auto" w:sz="4" w:space="0"/>
              <w:right w:val="single" w:color="000000" w:sz="4" w:space="0"/>
            </w:tcBorders>
            <w:noWrap w:val="0"/>
            <w:vAlign w:val="center"/>
          </w:tcPr>
          <w:p w14:paraId="7C0A6FFD">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p>
        </w:tc>
        <w:tc>
          <w:tcPr>
            <w:tcW w:w="1216" w:type="pct"/>
            <w:tcBorders>
              <w:top w:val="single" w:color="auto" w:sz="4" w:space="0"/>
              <w:left w:val="nil"/>
              <w:bottom w:val="single" w:color="auto" w:sz="4" w:space="0"/>
              <w:right w:val="single" w:color="000000" w:sz="4" w:space="0"/>
            </w:tcBorders>
            <w:noWrap w:val="0"/>
            <w:vAlign w:val="center"/>
          </w:tcPr>
          <w:p w14:paraId="60CB6DEB">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16.83</w:t>
            </w:r>
          </w:p>
        </w:tc>
        <w:tc>
          <w:tcPr>
            <w:tcW w:w="903" w:type="pct"/>
            <w:tcBorders>
              <w:top w:val="single" w:color="auto" w:sz="4" w:space="0"/>
              <w:left w:val="nil"/>
              <w:bottom w:val="single" w:color="auto" w:sz="4" w:space="0"/>
              <w:right w:val="single" w:color="000000" w:sz="4" w:space="0"/>
            </w:tcBorders>
            <w:noWrap w:val="0"/>
            <w:vAlign w:val="center"/>
          </w:tcPr>
          <w:p w14:paraId="53A08D43">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p>
        </w:tc>
      </w:tr>
      <w:tr w14:paraId="6ECAD5D1">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5E289850">
            <w:pPr>
              <w:widowControl/>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lang w:val="en-US" w:eastAsia="zh-CN"/>
              </w:rPr>
              <w:t>政府采购金额</w:t>
            </w:r>
          </w:p>
        </w:tc>
        <w:tc>
          <w:tcPr>
            <w:tcW w:w="793" w:type="pct"/>
            <w:tcBorders>
              <w:top w:val="single" w:color="auto" w:sz="4" w:space="0"/>
              <w:left w:val="nil"/>
              <w:bottom w:val="single" w:color="auto" w:sz="4" w:space="0"/>
              <w:right w:val="single" w:color="000000" w:sz="4" w:space="0"/>
            </w:tcBorders>
            <w:noWrap w:val="0"/>
            <w:vAlign w:val="center"/>
          </w:tcPr>
          <w:p w14:paraId="448614F5">
            <w:pPr>
              <w:keepNext w:val="0"/>
              <w:keepLines w:val="0"/>
              <w:widowControl/>
              <w:suppressLineNumbers w:val="0"/>
              <w:jc w:val="center"/>
              <w:textAlignment w:val="bottom"/>
              <w:rPr>
                <w:rFonts w:hint="default" w:ascii="Times New Roman" w:hAnsi="Times New Roman" w:eastAsia="宋体" w:cs="Times New Roman"/>
                <w:b/>
                <w:bCs/>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3475.65</w:t>
            </w:r>
          </w:p>
        </w:tc>
        <w:tc>
          <w:tcPr>
            <w:tcW w:w="1216" w:type="pct"/>
            <w:tcBorders>
              <w:top w:val="single" w:color="auto" w:sz="4" w:space="0"/>
              <w:left w:val="nil"/>
              <w:bottom w:val="single" w:color="auto" w:sz="4" w:space="0"/>
              <w:right w:val="single" w:color="000000" w:sz="4" w:space="0"/>
            </w:tcBorders>
            <w:noWrap w:val="0"/>
            <w:vAlign w:val="center"/>
          </w:tcPr>
          <w:p w14:paraId="78ED05DD">
            <w:pPr>
              <w:keepNext w:val="0"/>
              <w:keepLines w:val="0"/>
              <w:widowControl/>
              <w:suppressLineNumbers w:val="0"/>
              <w:jc w:val="center"/>
              <w:textAlignment w:val="bottom"/>
              <w:rPr>
                <w:rFonts w:hint="default" w:ascii="Times New Roman" w:hAnsi="Times New Roman" w:eastAsia="宋体" w:cs="Times New Roman"/>
                <w:b/>
                <w:bCs/>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7,630.00</w:t>
            </w:r>
          </w:p>
        </w:tc>
        <w:tc>
          <w:tcPr>
            <w:tcW w:w="903" w:type="pct"/>
            <w:tcBorders>
              <w:top w:val="single" w:color="auto" w:sz="4" w:space="0"/>
              <w:left w:val="nil"/>
              <w:bottom w:val="single" w:color="auto" w:sz="4" w:space="0"/>
              <w:right w:val="single" w:color="000000" w:sz="4" w:space="0"/>
            </w:tcBorders>
            <w:noWrap w:val="0"/>
            <w:vAlign w:val="center"/>
          </w:tcPr>
          <w:p w14:paraId="032115C2">
            <w:pPr>
              <w:keepNext w:val="0"/>
              <w:keepLines w:val="0"/>
              <w:widowControl/>
              <w:suppressLineNumbers w:val="0"/>
              <w:jc w:val="center"/>
              <w:textAlignment w:val="bottom"/>
              <w:rPr>
                <w:rFonts w:hint="default" w:ascii="Times New Roman" w:hAnsi="Times New Roman" w:eastAsia="宋体" w:cs="Times New Roman"/>
                <w:i w:val="0"/>
                <w:iCs w:val="0"/>
                <w:snapToGrid w:val="0"/>
                <w:color w:val="auto"/>
                <w:kern w:val="0"/>
                <w:sz w:val="21"/>
                <w:szCs w:val="21"/>
                <w:u w:val="none"/>
                <w:lang w:val="en-US" w:eastAsia="zh-CN" w:bidi="ar"/>
              </w:rPr>
            </w:pPr>
            <w:r>
              <w:rPr>
                <w:rFonts w:hint="default" w:ascii="Times New Roman" w:hAnsi="Times New Roman" w:eastAsia="宋体" w:cs="Times New Roman"/>
                <w:i w:val="0"/>
                <w:iCs w:val="0"/>
                <w:snapToGrid w:val="0"/>
                <w:color w:val="auto"/>
                <w:kern w:val="0"/>
                <w:sz w:val="21"/>
                <w:szCs w:val="21"/>
                <w:u w:val="none"/>
                <w:lang w:val="en-US" w:eastAsia="zh-CN" w:bidi="ar"/>
              </w:rPr>
              <w:t xml:space="preserve">5,278.11 </w:t>
            </w:r>
          </w:p>
        </w:tc>
      </w:tr>
      <w:tr w14:paraId="39B02A0C">
        <w:tblPrEx>
          <w:tblCellMar>
            <w:top w:w="0" w:type="dxa"/>
            <w:left w:w="108" w:type="dxa"/>
            <w:bottom w:w="0" w:type="dxa"/>
            <w:right w:w="108" w:type="dxa"/>
          </w:tblCellMar>
        </w:tblPrEx>
        <w:trPr>
          <w:trHeight w:val="363" w:hRule="atLeast"/>
          <w:jc w:val="center"/>
        </w:trPr>
        <w:tc>
          <w:tcPr>
            <w:tcW w:w="2086" w:type="pct"/>
            <w:tcBorders>
              <w:top w:val="nil"/>
              <w:left w:val="single" w:color="auto" w:sz="4" w:space="0"/>
              <w:bottom w:val="single" w:color="auto" w:sz="4" w:space="0"/>
              <w:right w:val="single" w:color="auto" w:sz="4" w:space="0"/>
            </w:tcBorders>
            <w:noWrap w:val="0"/>
            <w:vAlign w:val="center"/>
          </w:tcPr>
          <w:p w14:paraId="1B58F2F3">
            <w:pPr>
              <w:widowControl/>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厉行节约保障措施等相关情况</w:t>
            </w:r>
          </w:p>
        </w:tc>
        <w:tc>
          <w:tcPr>
            <w:tcW w:w="2913" w:type="pct"/>
            <w:gridSpan w:val="3"/>
            <w:tcBorders>
              <w:top w:val="single" w:color="auto" w:sz="4" w:space="0"/>
              <w:left w:val="nil"/>
              <w:bottom w:val="single" w:color="auto" w:sz="4" w:space="0"/>
              <w:right w:val="single" w:color="000000" w:sz="4" w:space="0"/>
            </w:tcBorders>
            <w:noWrap w:val="0"/>
            <w:vAlign w:val="center"/>
          </w:tcPr>
          <w:p w14:paraId="3308F60E">
            <w:pPr>
              <w:keepNext w:val="0"/>
              <w:keepLines w:val="0"/>
              <w:pageBreakBefore w:val="0"/>
              <w:widowControl/>
              <w:kinsoku w:val="0"/>
              <w:wordWrap/>
              <w:overflowPunct/>
              <w:topLinePunct w:val="0"/>
              <w:autoSpaceDE w:val="0"/>
              <w:autoSpaceDN w:val="0"/>
              <w:bidi w:val="0"/>
              <w:adjustRightInd w:val="0"/>
              <w:snapToGrid w:val="0"/>
              <w:ind w:left="-42" w:leftChars="-20" w:right="-42" w:rightChars="-20"/>
              <w:jc w:val="both"/>
              <w:textAlignment w:val="baseline"/>
              <w:rPr>
                <w:rFonts w:hint="default" w:ascii="Times New Roman" w:hAnsi="Times New Roman" w:eastAsia="仿宋_GB2312" w:cs="Times New Roman"/>
                <w:color w:val="auto"/>
                <w:kern w:val="0"/>
                <w:szCs w:val="21"/>
              </w:rPr>
            </w:pPr>
            <w:r>
              <w:rPr>
                <w:rFonts w:hint="default" w:ascii="Times New Roman" w:hAnsi="Times New Roman" w:eastAsia="仿宋" w:cs="Times New Roman"/>
                <w:color w:val="auto"/>
                <w:kern w:val="0"/>
                <w:szCs w:val="21"/>
              </w:rPr>
              <w:t>严格执行单位《财务管理办法》，严控三公、差旅、会议、培训及项目相关费用支出，明确零星及大宗采购和工程支出流程。</w:t>
            </w:r>
            <w:r>
              <w:rPr>
                <w:rFonts w:hint="default" w:ascii="Times New Roman" w:hAnsi="Times New Roman" w:cs="Times New Roman"/>
                <w:color w:val="auto"/>
                <w:kern w:val="0"/>
                <w:szCs w:val="21"/>
              </w:rPr>
              <w:t>　</w:t>
            </w:r>
            <w:r>
              <w:rPr>
                <w:rFonts w:hint="default" w:ascii="Times New Roman" w:hAnsi="Times New Roman" w:eastAsia="仿宋_GB2312" w:cs="Times New Roman"/>
                <w:color w:val="auto"/>
                <w:kern w:val="0"/>
                <w:szCs w:val="21"/>
              </w:rPr>
              <w:t>　</w:t>
            </w:r>
          </w:p>
        </w:tc>
      </w:tr>
    </w:tbl>
    <w:p w14:paraId="10262312">
      <w:pPr>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kern w:val="0"/>
          <w:sz w:val="22"/>
          <w:szCs w:val="22"/>
        </w:rPr>
        <w:t>说明：“项目支出”需要填报基本支出以外的所有项目支出情况，包括业务工作项目运行维护项目和市级专项资金等；“公用经费”填报基本支出中的一般商品和服务支出。</w:t>
      </w:r>
    </w:p>
    <w:p w14:paraId="3297DCDB">
      <w:pPr>
        <w:spacing w:line="620" w:lineRule="exact"/>
        <w:rPr>
          <w:rFonts w:hint="default" w:ascii="Times New Roman" w:hAnsi="Times New Roman" w:eastAsia="黑体" w:cs="Times New Roman"/>
          <w:color w:val="auto"/>
          <w:sz w:val="32"/>
          <w:szCs w:val="32"/>
        </w:rPr>
        <w:sectPr>
          <w:footerReference r:id="rId5" w:type="default"/>
          <w:pgSz w:w="11906" w:h="16838"/>
          <w:pgMar w:top="1440" w:right="1349" w:bottom="1440" w:left="1800" w:header="851" w:footer="992" w:gutter="0"/>
          <w:pgNumType w:fmt="numberInDash" w:start="1"/>
          <w:cols w:space="425" w:num="1"/>
          <w:docGrid w:type="lines" w:linePitch="312" w:charSpace="0"/>
        </w:sectPr>
      </w:pPr>
    </w:p>
    <w:p w14:paraId="3F2EDB02">
      <w:pPr>
        <w:spacing w:line="620" w:lineRule="exact"/>
        <w:rPr>
          <w:rFonts w:hint="default" w:ascii="Times New Roman" w:hAnsi="Times New Roman" w:eastAsia="方正小标宋简体" w:cs="Times New Roman"/>
          <w:color w:val="auto"/>
          <w:kern w:val="0"/>
          <w:sz w:val="28"/>
          <w:szCs w:val="28"/>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 xml:space="preserve">2                   </w:t>
      </w:r>
      <w:r>
        <w:rPr>
          <w:rFonts w:hint="default" w:ascii="Times New Roman" w:hAnsi="Times New Roman" w:eastAsia="方正小标宋简体" w:cs="Times New Roman"/>
          <w:color w:val="auto"/>
          <w:kern w:val="0"/>
          <w:sz w:val="28"/>
          <w:szCs w:val="28"/>
          <w:lang w:val="en-US" w:eastAsia="zh-CN"/>
        </w:rPr>
        <w:t>衡阳技师学院2022年度</w:t>
      </w:r>
      <w:r>
        <w:rPr>
          <w:rFonts w:hint="default" w:ascii="Times New Roman" w:hAnsi="Times New Roman" w:eastAsia="方正小标宋简体" w:cs="Times New Roman"/>
          <w:color w:val="auto"/>
          <w:kern w:val="0"/>
          <w:sz w:val="28"/>
          <w:szCs w:val="28"/>
        </w:rPr>
        <w:t>部门整体支出绩效评价指标及权重分值表</w:t>
      </w:r>
    </w:p>
    <w:tbl>
      <w:tblPr>
        <w:tblStyle w:val="9"/>
        <w:tblW w:w="497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61"/>
        <w:gridCol w:w="587"/>
        <w:gridCol w:w="1063"/>
        <w:gridCol w:w="498"/>
        <w:gridCol w:w="3466"/>
        <w:gridCol w:w="4357"/>
        <w:gridCol w:w="510"/>
        <w:gridCol w:w="2854"/>
      </w:tblGrid>
      <w:tr w14:paraId="7ECCC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blHeader/>
          <w:jc w:val="center"/>
        </w:trPr>
        <w:tc>
          <w:tcPr>
            <w:tcW w:w="269" w:type="pct"/>
            <w:tcBorders>
              <w:top w:val="single" w:color="000000" w:sz="4" w:space="0"/>
              <w:left w:val="single" w:color="000000" w:sz="4" w:space="0"/>
              <w:bottom w:val="single" w:color="auto" w:sz="4" w:space="0"/>
              <w:right w:val="single" w:color="000000" w:sz="4" w:space="0"/>
            </w:tcBorders>
            <w:noWrap w:val="0"/>
            <w:vAlign w:val="center"/>
          </w:tcPr>
          <w:p w14:paraId="5965AE2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0"/>
                <w:szCs w:val="20"/>
                <w:u w:val="none"/>
              </w:rPr>
            </w:pPr>
            <w:r>
              <w:rPr>
                <w:rFonts w:hint="default" w:ascii="Times New Roman" w:hAnsi="Times New Roman" w:eastAsia="仿宋_GB2312" w:cs="Times New Roman"/>
                <w:b/>
                <w:bCs/>
                <w:i w:val="0"/>
                <w:iCs w:val="0"/>
                <w:color w:val="auto"/>
                <w:kern w:val="0"/>
                <w:sz w:val="20"/>
                <w:szCs w:val="20"/>
                <w:u w:val="none"/>
                <w:lang w:val="en-US" w:eastAsia="zh-CN" w:bidi="ar"/>
              </w:rPr>
              <w:t>一级             指标</w:t>
            </w:r>
          </w:p>
        </w:tc>
        <w:tc>
          <w:tcPr>
            <w:tcW w:w="208" w:type="pct"/>
            <w:tcBorders>
              <w:top w:val="single" w:color="000000" w:sz="4" w:space="0"/>
              <w:left w:val="single" w:color="000000" w:sz="4" w:space="0"/>
              <w:bottom w:val="single" w:color="auto" w:sz="4" w:space="0"/>
              <w:right w:val="single" w:color="000000" w:sz="4" w:space="0"/>
            </w:tcBorders>
            <w:noWrap w:val="0"/>
            <w:vAlign w:val="center"/>
          </w:tcPr>
          <w:p w14:paraId="331C44D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0"/>
                <w:szCs w:val="20"/>
                <w:u w:val="none"/>
              </w:rPr>
            </w:pPr>
            <w:r>
              <w:rPr>
                <w:rFonts w:hint="default" w:ascii="Times New Roman" w:hAnsi="Times New Roman" w:eastAsia="仿宋_GB2312" w:cs="Times New Roman"/>
                <w:b/>
                <w:bCs/>
                <w:i w:val="0"/>
                <w:iCs w:val="0"/>
                <w:color w:val="auto"/>
                <w:kern w:val="0"/>
                <w:sz w:val="20"/>
                <w:szCs w:val="20"/>
                <w:u w:val="none"/>
                <w:lang w:val="en-US" w:eastAsia="zh-CN" w:bidi="ar"/>
              </w:rPr>
              <w:t>二级         指标</w:t>
            </w:r>
          </w:p>
        </w:tc>
        <w:tc>
          <w:tcPr>
            <w:tcW w:w="377" w:type="pct"/>
            <w:tcBorders>
              <w:top w:val="single" w:color="000000" w:sz="4" w:space="0"/>
              <w:left w:val="single" w:color="000000" w:sz="4" w:space="0"/>
              <w:bottom w:val="single" w:color="auto" w:sz="4" w:space="0"/>
              <w:right w:val="single" w:color="000000" w:sz="4" w:space="0"/>
            </w:tcBorders>
            <w:noWrap w:val="0"/>
            <w:vAlign w:val="center"/>
          </w:tcPr>
          <w:p w14:paraId="15B8CD61">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0"/>
                <w:szCs w:val="20"/>
                <w:u w:val="none"/>
              </w:rPr>
            </w:pPr>
            <w:r>
              <w:rPr>
                <w:rFonts w:hint="default" w:ascii="Times New Roman" w:hAnsi="Times New Roman" w:eastAsia="仿宋_GB2312" w:cs="Times New Roman"/>
                <w:b/>
                <w:bCs/>
                <w:i w:val="0"/>
                <w:iCs w:val="0"/>
                <w:color w:val="auto"/>
                <w:kern w:val="0"/>
                <w:sz w:val="20"/>
                <w:szCs w:val="20"/>
                <w:u w:val="none"/>
                <w:lang w:val="en-US" w:eastAsia="zh-CN" w:bidi="ar"/>
              </w:rPr>
              <w:t>三级               指标</w:t>
            </w:r>
          </w:p>
        </w:tc>
        <w:tc>
          <w:tcPr>
            <w:tcW w:w="176" w:type="pct"/>
            <w:tcBorders>
              <w:top w:val="single" w:color="000000" w:sz="4" w:space="0"/>
              <w:left w:val="single" w:color="000000" w:sz="4" w:space="0"/>
              <w:bottom w:val="single" w:color="000000" w:sz="4" w:space="0"/>
              <w:right w:val="single" w:color="000000" w:sz="4" w:space="0"/>
            </w:tcBorders>
            <w:noWrap w:val="0"/>
            <w:vAlign w:val="center"/>
          </w:tcPr>
          <w:p w14:paraId="60C095A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0"/>
                <w:szCs w:val="20"/>
                <w:u w:val="none"/>
              </w:rPr>
            </w:pPr>
            <w:r>
              <w:rPr>
                <w:rFonts w:hint="default" w:ascii="Times New Roman" w:hAnsi="Times New Roman" w:eastAsia="仿宋_GB2312" w:cs="Times New Roman"/>
                <w:b/>
                <w:bCs/>
                <w:i w:val="0"/>
                <w:iCs w:val="0"/>
                <w:color w:val="auto"/>
                <w:kern w:val="0"/>
                <w:sz w:val="20"/>
                <w:szCs w:val="20"/>
                <w:u w:val="none"/>
                <w:lang w:val="en-US" w:eastAsia="zh-CN" w:bidi="ar"/>
              </w:rPr>
              <w:t>分值</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5CECDE3D">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0"/>
                <w:szCs w:val="20"/>
                <w:u w:val="none"/>
              </w:rPr>
            </w:pPr>
            <w:r>
              <w:rPr>
                <w:rFonts w:hint="default" w:ascii="Times New Roman" w:hAnsi="Times New Roman" w:eastAsia="仿宋_GB2312" w:cs="Times New Roman"/>
                <w:b/>
                <w:bCs/>
                <w:i w:val="0"/>
                <w:iCs w:val="0"/>
                <w:color w:val="auto"/>
                <w:kern w:val="0"/>
                <w:sz w:val="20"/>
                <w:szCs w:val="20"/>
                <w:u w:val="none"/>
                <w:lang w:val="en-US" w:eastAsia="zh-CN" w:bidi="ar"/>
              </w:rPr>
              <w:t>评分要点</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2B43C2D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sz w:val="20"/>
                <w:szCs w:val="20"/>
                <w:u w:val="none"/>
              </w:rPr>
            </w:pPr>
            <w:r>
              <w:rPr>
                <w:rFonts w:hint="default" w:ascii="Times New Roman" w:hAnsi="Times New Roman" w:eastAsia="仿宋_GB2312" w:cs="Times New Roman"/>
                <w:b/>
                <w:bCs/>
                <w:i w:val="0"/>
                <w:iCs w:val="0"/>
                <w:color w:val="auto"/>
                <w:kern w:val="0"/>
                <w:sz w:val="20"/>
                <w:szCs w:val="20"/>
                <w:u w:val="none"/>
                <w:lang w:val="en-US" w:eastAsia="zh-CN" w:bidi="ar"/>
              </w:rPr>
              <w:t>评分标准</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1B1CB45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kern w:val="0"/>
                <w:sz w:val="20"/>
                <w:szCs w:val="20"/>
                <w:u w:val="none"/>
                <w:lang w:val="en-US" w:eastAsia="zh-CN" w:bidi="ar"/>
              </w:rPr>
            </w:pPr>
            <w:r>
              <w:rPr>
                <w:rFonts w:hint="default" w:ascii="Times New Roman" w:hAnsi="Times New Roman" w:eastAsia="仿宋_GB2312" w:cs="Times New Roman"/>
                <w:b/>
                <w:bCs/>
                <w:i w:val="0"/>
                <w:iCs w:val="0"/>
                <w:color w:val="auto"/>
                <w:kern w:val="0"/>
                <w:sz w:val="20"/>
                <w:szCs w:val="20"/>
                <w:u w:val="none"/>
                <w:lang w:val="en-US" w:eastAsia="zh-CN" w:bidi="ar"/>
              </w:rPr>
              <w:t>得分</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626F94AD">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b/>
                <w:bCs/>
                <w:i w:val="0"/>
                <w:iCs w:val="0"/>
                <w:color w:val="auto"/>
                <w:kern w:val="0"/>
                <w:sz w:val="20"/>
                <w:szCs w:val="20"/>
                <w:u w:val="none"/>
                <w:lang w:val="en-US" w:eastAsia="zh-CN" w:bidi="ar"/>
              </w:rPr>
            </w:pPr>
            <w:r>
              <w:rPr>
                <w:rFonts w:hint="default" w:ascii="Times New Roman" w:hAnsi="Times New Roman" w:eastAsia="仿宋_GB2312" w:cs="Times New Roman"/>
                <w:b/>
                <w:bCs/>
                <w:i w:val="0"/>
                <w:iCs w:val="0"/>
                <w:color w:val="auto"/>
                <w:kern w:val="0"/>
                <w:sz w:val="20"/>
                <w:szCs w:val="20"/>
                <w:u w:val="none"/>
                <w:lang w:val="en-US" w:eastAsia="zh-CN" w:bidi="ar"/>
              </w:rPr>
              <w:t>备注</w:t>
            </w:r>
          </w:p>
        </w:tc>
      </w:tr>
      <w:tr w14:paraId="1E5FA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2" w:hRule="atLeast"/>
          <w:jc w:val="center"/>
        </w:trPr>
        <w:tc>
          <w:tcPr>
            <w:tcW w:w="269" w:type="pct"/>
            <w:vMerge w:val="restart"/>
            <w:tcBorders>
              <w:top w:val="single" w:color="auto" w:sz="4" w:space="0"/>
              <w:left w:val="single" w:color="auto" w:sz="4" w:space="0"/>
              <w:bottom w:val="single" w:color="000000" w:sz="4" w:space="0"/>
              <w:right w:val="single" w:color="000000" w:sz="4" w:space="0"/>
            </w:tcBorders>
            <w:noWrap w:val="0"/>
            <w:vAlign w:val="center"/>
          </w:tcPr>
          <w:p w14:paraId="648B953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投入   （10分）</w:t>
            </w:r>
          </w:p>
        </w:tc>
        <w:tc>
          <w:tcPr>
            <w:tcW w:w="208" w:type="pct"/>
            <w:vMerge w:val="restart"/>
            <w:tcBorders>
              <w:top w:val="single" w:color="auto" w:sz="4" w:space="0"/>
              <w:left w:val="single" w:color="000000" w:sz="4" w:space="0"/>
              <w:bottom w:val="single" w:color="000000" w:sz="4" w:space="0"/>
              <w:right w:val="single" w:color="000000" w:sz="4" w:space="0"/>
            </w:tcBorders>
            <w:noWrap w:val="0"/>
            <w:vAlign w:val="center"/>
          </w:tcPr>
          <w:p w14:paraId="549AC97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目标</w:t>
            </w:r>
          </w:p>
          <w:p w14:paraId="297CC6E1">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设定</w:t>
            </w:r>
          </w:p>
          <w:p w14:paraId="02D7A1B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（7分）</w:t>
            </w:r>
          </w:p>
        </w:tc>
        <w:tc>
          <w:tcPr>
            <w:tcW w:w="377" w:type="pct"/>
            <w:tcBorders>
              <w:top w:val="single" w:color="auto" w:sz="4" w:space="0"/>
              <w:left w:val="single" w:color="000000" w:sz="4" w:space="0"/>
              <w:bottom w:val="single" w:color="000000" w:sz="4" w:space="0"/>
              <w:right w:val="single" w:color="auto" w:sz="4" w:space="0"/>
            </w:tcBorders>
            <w:noWrap w:val="0"/>
            <w:vAlign w:val="center"/>
          </w:tcPr>
          <w:p w14:paraId="788AE5E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绩效目标合理性</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188A30B1">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3</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4F1102DF">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①是否符合国家法律法规、国民经济和社会发展总体规划；                                ②是否符合部门“三定”方案确定的职责；                             ③是否符合部门制定的发展实施规划；                   ④是否分别制定了整体绩效目标和项目绩效目标。</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5653DA80">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①符合国家相关法律法规，本市国民经济和社会发展规划，</w:t>
            </w:r>
            <w:r>
              <w:rPr>
                <w:rStyle w:val="14"/>
                <w:rFonts w:hint="default" w:ascii="Times New Roman" w:hAnsi="Times New Roman" w:eastAsia="仿宋_GB2312" w:cs="Times New Roman"/>
                <w:color w:val="auto"/>
                <w:lang w:val="en-US" w:eastAsia="zh-CN" w:bidi="ar"/>
              </w:rPr>
              <w:t xml:space="preserve">计0.5分，否则不得分；      </w:t>
            </w:r>
          </w:p>
          <w:p w14:paraId="131B426B">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sz w:val="18"/>
                <w:szCs w:val="18"/>
                <w:u w:val="none"/>
              </w:rPr>
            </w:pPr>
            <w:r>
              <w:rPr>
                <w:rStyle w:val="14"/>
                <w:rFonts w:hint="default" w:ascii="Times New Roman" w:hAnsi="Times New Roman" w:eastAsia="仿宋_GB2312" w:cs="Times New Roman"/>
                <w:color w:val="auto"/>
                <w:lang w:val="en-US" w:eastAsia="zh-CN" w:bidi="ar"/>
              </w:rPr>
              <w:t>②与部门（单位）职责密切相关，计1分，否则不得分；                                             ③符合部门制定的发展实施规划，计1分，否则不得分；                                               ④按相关要求分别制定了整体绩效目标和项目绩效目标，计0.5分，否则不得分。</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635C80B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1.5</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618CB39D">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未按相关要求制定绩效目标，扣1.5分。</w:t>
            </w:r>
          </w:p>
        </w:tc>
      </w:tr>
      <w:tr w14:paraId="1158F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jc w:val="center"/>
        </w:trPr>
        <w:tc>
          <w:tcPr>
            <w:tcW w:w="269" w:type="pct"/>
            <w:vMerge w:val="continue"/>
            <w:tcBorders>
              <w:top w:val="single" w:color="000000" w:sz="4" w:space="0"/>
              <w:left w:val="single" w:color="auto" w:sz="4" w:space="0"/>
              <w:bottom w:val="single" w:color="000000" w:sz="4" w:space="0"/>
              <w:right w:val="single" w:color="000000" w:sz="4" w:space="0"/>
            </w:tcBorders>
            <w:noWrap w:val="0"/>
            <w:vAlign w:val="center"/>
          </w:tcPr>
          <w:p w14:paraId="15DB2397">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894AB7">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000000" w:sz="4" w:space="0"/>
              <w:left w:val="single" w:color="000000" w:sz="4" w:space="0"/>
              <w:bottom w:val="single" w:color="000000" w:sz="4" w:space="0"/>
              <w:right w:val="single" w:color="auto" w:sz="4" w:space="0"/>
            </w:tcBorders>
            <w:noWrap w:val="0"/>
            <w:vAlign w:val="center"/>
          </w:tcPr>
          <w:p w14:paraId="2A860D1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绩效指标明确性</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3462CB79">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4</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18DCC8ED">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①是否将部门整体的绩效目标细化分解为具体的工作任务</w:t>
            </w:r>
            <w:r>
              <w:rPr>
                <w:rFonts w:hint="default" w:ascii="Times New Roman" w:hAnsi="Times New Roman" w:eastAsia="仿宋_GB2312" w:cs="Times New Roman"/>
                <w:i w:val="0"/>
                <w:iCs w:val="0"/>
                <w:color w:val="auto"/>
                <w:kern w:val="0"/>
                <w:sz w:val="20"/>
                <w:szCs w:val="20"/>
                <w:u w:val="none"/>
                <w:lang w:val="en-US" w:eastAsia="zh-CN" w:bidi="ar"/>
              </w:rPr>
              <w:t xml:space="preserve">；                                    </w:t>
            </w:r>
            <w:r>
              <w:rPr>
                <w:rFonts w:hint="default" w:ascii="Times New Roman" w:hAnsi="Times New Roman" w:eastAsia="仿宋_GB2312" w:cs="Times New Roman"/>
                <w:i w:val="0"/>
                <w:iCs w:val="0"/>
                <w:color w:val="auto"/>
                <w:kern w:val="0"/>
                <w:sz w:val="18"/>
                <w:szCs w:val="18"/>
                <w:u w:val="none"/>
                <w:lang w:val="en-US" w:eastAsia="zh-CN" w:bidi="ar"/>
              </w:rPr>
              <w:t>②是否通过清晰、可衡量的指标值予以体现。                                                  ③是否将项目绩效目标与部门年度的任务数或计划数相对应；                                    ④是否与本年度部门预算资金相匹配。</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6A477AD5">
            <w:pPr>
              <w:keepNext w:val="0"/>
              <w:keepLines w:val="0"/>
              <w:pageBreakBefore w:val="0"/>
              <w:widowControl/>
              <w:suppressLineNumbers w:val="0"/>
              <w:kinsoku/>
              <w:wordWrap/>
              <w:overflowPunct/>
              <w:topLinePunct w:val="0"/>
              <w:autoSpaceDE/>
              <w:autoSpaceDN/>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①有目标，计1分，否则不得分；                       ②目标明确，细化量化良好，个性指标中量化指标超过3个，计1分，量化指标为2个，计0.5分，2个以下不得分；                                              ③与年度任务数或计划数相对应，计1分，低于2个，计0.5分，低于4个不得分；                                   ④目标与资金匹配良好，逻辑关系明确，计1分，否则不得分。</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7C787A99">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1.0</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29FA7B1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部分绩效指标未细化、量化，目标与资金不匹配，扣3.0分。</w:t>
            </w:r>
          </w:p>
        </w:tc>
      </w:tr>
      <w:tr w14:paraId="470FD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269" w:type="pct"/>
            <w:vMerge w:val="continue"/>
            <w:tcBorders>
              <w:top w:val="single" w:color="000000" w:sz="4" w:space="0"/>
              <w:left w:val="single" w:color="auto" w:sz="4" w:space="0"/>
              <w:bottom w:val="single" w:color="000000" w:sz="4" w:space="0"/>
              <w:right w:val="single" w:color="000000" w:sz="4" w:space="0"/>
            </w:tcBorders>
            <w:noWrap w:val="0"/>
            <w:vAlign w:val="center"/>
          </w:tcPr>
          <w:p w14:paraId="21DD2DE4">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noWrap w:val="0"/>
            <w:vAlign w:val="center"/>
          </w:tcPr>
          <w:p w14:paraId="36BF1B6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预算配置（3分）</w:t>
            </w:r>
          </w:p>
        </w:tc>
        <w:tc>
          <w:tcPr>
            <w:tcW w:w="377" w:type="pct"/>
            <w:tcBorders>
              <w:top w:val="single" w:color="000000" w:sz="4" w:space="0"/>
              <w:left w:val="single" w:color="000000" w:sz="4" w:space="0"/>
              <w:bottom w:val="single" w:color="000000" w:sz="4" w:space="0"/>
              <w:right w:val="single" w:color="auto" w:sz="4" w:space="0"/>
            </w:tcBorders>
            <w:noWrap w:val="0"/>
            <w:vAlign w:val="center"/>
          </w:tcPr>
          <w:p w14:paraId="6D22A70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在职人员控制率</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0652A630">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2</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443D0318">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在职人员控制率=（在职人员数/编制数）×100%。                                          聘用人员控制率≦编办批复的人数；                                              在职人员数：部门（单位）实际在职人数,以财政部门确定的部门决算编制口径为准；                             编制数：机构编制部门核定批复的部门（单位）的人员编制数。</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17DA93F7">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在职人员控制率≦100%计2分，每超出1%扣0.2分，扣完为止。                                                                                          聘用人员实际使用数小于等于编办批复数，计1分，否则不得分。</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55C888A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656525F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在职人员控制率为85.01%。</w:t>
            </w:r>
          </w:p>
        </w:tc>
      </w:tr>
      <w:tr w14:paraId="310C6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jc w:val="center"/>
        </w:trPr>
        <w:tc>
          <w:tcPr>
            <w:tcW w:w="269" w:type="pct"/>
            <w:vMerge w:val="continue"/>
            <w:tcBorders>
              <w:top w:val="single" w:color="000000" w:sz="4" w:space="0"/>
              <w:left w:val="single" w:color="auto" w:sz="4" w:space="0"/>
              <w:bottom w:val="single" w:color="000000" w:sz="4" w:space="0"/>
              <w:right w:val="single" w:color="000000" w:sz="4" w:space="0"/>
            </w:tcBorders>
            <w:noWrap w:val="0"/>
            <w:vAlign w:val="center"/>
          </w:tcPr>
          <w:p w14:paraId="466CACCF">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37BC25">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000000" w:sz="4" w:space="0"/>
              <w:left w:val="nil"/>
              <w:bottom w:val="single" w:color="000000" w:sz="4" w:space="0"/>
              <w:right w:val="single" w:color="auto" w:sz="4" w:space="0"/>
            </w:tcBorders>
            <w:noWrap w:val="0"/>
            <w:vAlign w:val="center"/>
          </w:tcPr>
          <w:p w14:paraId="3BF3AB8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“三公经费”变动率</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32AC73B6">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1</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499F048F">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“三公经费”变动率=〔（本年度“三公经费”预算数-上年度“三公经费”预算数）/上年度“三公经费”预算数〕×100%</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2901F2F6">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“三公经费”变动率≦0,计1分；“三公经费”变动率＞0，每超过一个百分点扣0.5分，扣完为止。</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041ECC7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1</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5BA7CF8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三公经费变动率为0.00%。</w:t>
            </w:r>
          </w:p>
        </w:tc>
      </w:tr>
      <w:tr w14:paraId="32DDC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 w:hRule="atLeast"/>
          <w:jc w:val="center"/>
        </w:trPr>
        <w:tc>
          <w:tcPr>
            <w:tcW w:w="269" w:type="pct"/>
            <w:vMerge w:val="restart"/>
            <w:tcBorders>
              <w:top w:val="single" w:color="000000" w:sz="4" w:space="0"/>
              <w:left w:val="single" w:color="auto" w:sz="4" w:space="0"/>
              <w:bottom w:val="single" w:color="000000" w:sz="4" w:space="0"/>
              <w:right w:val="single" w:color="000000" w:sz="4" w:space="0"/>
            </w:tcBorders>
            <w:noWrap w:val="0"/>
            <w:vAlign w:val="center"/>
          </w:tcPr>
          <w:p w14:paraId="494D119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过程          （36分）</w:t>
            </w:r>
          </w:p>
        </w:tc>
        <w:tc>
          <w:tcPr>
            <w:tcW w:w="208" w:type="pct"/>
            <w:vMerge w:val="restart"/>
            <w:tcBorders>
              <w:top w:val="single" w:color="000000" w:sz="4" w:space="0"/>
              <w:left w:val="nil"/>
              <w:bottom w:val="single" w:color="000000" w:sz="4" w:space="0"/>
              <w:right w:val="single" w:color="000000" w:sz="4" w:space="0"/>
            </w:tcBorders>
            <w:noWrap w:val="0"/>
            <w:vAlign w:val="center"/>
          </w:tcPr>
          <w:p w14:paraId="546730B1">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预算执行（16分）</w:t>
            </w:r>
          </w:p>
        </w:tc>
        <w:tc>
          <w:tcPr>
            <w:tcW w:w="377" w:type="pct"/>
            <w:tcBorders>
              <w:top w:val="single" w:color="000000" w:sz="4" w:space="0"/>
              <w:left w:val="nil"/>
              <w:bottom w:val="single" w:color="000000" w:sz="4" w:space="0"/>
              <w:right w:val="single" w:color="auto" w:sz="4" w:space="0"/>
            </w:tcBorders>
            <w:noWrap w:val="0"/>
            <w:vAlign w:val="center"/>
          </w:tcPr>
          <w:p w14:paraId="5A7F2137">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 xml:space="preserve">预算            完成率 </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0C91788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5</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4C0AB9D4">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①预算完成率=（预算完成数/预算数）×100%。预算完成数：部门（单位）本年度实际完成的预算数。预算数：财政部门批复的本年度部门（单位）预算数及追加的项目预算数。  ②绩效目标执行监控是否按要求完成。</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5B504E19">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①全年预算完成率95%以上计3分，95-90%（含），计2分，90-80%（含），计1分，小于80%不得分；                                             ②根据市财政局审核结果，评审为优，计2分；评审为良，计1.5分；评审为中，计1分；评审为低，计0.5分；评审为差，不得分。对未经市财政局审核的单位，有绩效目标执行监控的得2分，没有绩效目标执行监控的不得分。</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7A8A95A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2.5</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78E01DD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整体支出的预算完成率为84.68%，财政局审核结果为良，扣2.5分。</w:t>
            </w:r>
          </w:p>
        </w:tc>
      </w:tr>
      <w:tr w14:paraId="78EB5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6" w:hRule="atLeast"/>
          <w:jc w:val="center"/>
        </w:trPr>
        <w:tc>
          <w:tcPr>
            <w:tcW w:w="269" w:type="pct"/>
            <w:vMerge w:val="continue"/>
            <w:tcBorders>
              <w:top w:val="single" w:color="000000" w:sz="4" w:space="0"/>
              <w:left w:val="single" w:color="auto" w:sz="4" w:space="0"/>
              <w:bottom w:val="single" w:color="000000" w:sz="4" w:space="0"/>
              <w:right w:val="single" w:color="000000" w:sz="4" w:space="0"/>
            </w:tcBorders>
            <w:noWrap w:val="0"/>
            <w:vAlign w:val="center"/>
          </w:tcPr>
          <w:p w14:paraId="5A836914">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000000" w:sz="4" w:space="0"/>
              <w:left w:val="nil"/>
              <w:bottom w:val="single" w:color="000000" w:sz="4" w:space="0"/>
              <w:right w:val="single" w:color="000000" w:sz="4" w:space="0"/>
            </w:tcBorders>
            <w:noWrap w:val="0"/>
            <w:vAlign w:val="center"/>
          </w:tcPr>
          <w:p w14:paraId="0BDC2184">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000000" w:sz="4" w:space="0"/>
              <w:left w:val="nil"/>
              <w:bottom w:val="single" w:color="000000" w:sz="4" w:space="0"/>
              <w:right w:val="single" w:color="auto" w:sz="4" w:space="0"/>
            </w:tcBorders>
            <w:noWrap w:val="0"/>
            <w:vAlign w:val="center"/>
          </w:tcPr>
          <w:p w14:paraId="36CC1CE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预算</w:t>
            </w:r>
          </w:p>
          <w:p w14:paraId="6DB0C97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调整率</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7161D6C5">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2</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1CBD5D35">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预算调整率=（预算调整数/预算数）×100%。                              预算调整数：部门（单位）在本年度内涉及预算的追加、追减或结构调整的资金总和、部门预算调整务必精准有效（因落实国家政策、发生不可抗力，市委、市政府临时交办而产生的调整及经济科目非跨类调整除外）。</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484F5120">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预算调整率&lt;5%，计2分；5-10%（含），计1分；大于10%不得分。</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0D916F6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331C8862">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扣除按规定允许调整的预算，预算调整率＜5%。</w:t>
            </w:r>
          </w:p>
        </w:tc>
      </w:tr>
      <w:tr w14:paraId="1615E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269" w:type="pct"/>
            <w:vMerge w:val="continue"/>
            <w:tcBorders>
              <w:top w:val="single" w:color="000000" w:sz="4" w:space="0"/>
              <w:left w:val="single" w:color="auto" w:sz="4" w:space="0"/>
              <w:bottom w:val="single" w:color="000000" w:sz="4" w:space="0"/>
              <w:right w:val="single" w:color="000000" w:sz="4" w:space="0"/>
            </w:tcBorders>
            <w:noWrap w:val="0"/>
            <w:vAlign w:val="center"/>
          </w:tcPr>
          <w:p w14:paraId="5A970ECF">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000000" w:sz="4" w:space="0"/>
              <w:left w:val="nil"/>
              <w:bottom w:val="single" w:color="000000" w:sz="4" w:space="0"/>
              <w:right w:val="single" w:color="000000" w:sz="4" w:space="0"/>
            </w:tcBorders>
            <w:noWrap w:val="0"/>
            <w:vAlign w:val="center"/>
          </w:tcPr>
          <w:p w14:paraId="24DE6234">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000000" w:sz="4" w:space="0"/>
              <w:left w:val="nil"/>
              <w:bottom w:val="single" w:color="000000" w:sz="4" w:space="0"/>
              <w:right w:val="single" w:color="auto" w:sz="4" w:space="0"/>
            </w:tcBorders>
            <w:noWrap w:val="0"/>
            <w:vAlign w:val="center"/>
          </w:tcPr>
          <w:p w14:paraId="54E03D61">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lang w:val="en-US"/>
              </w:rPr>
            </w:pPr>
            <w:r>
              <w:rPr>
                <w:rFonts w:hint="default" w:ascii="Times New Roman" w:hAnsi="Times New Roman" w:eastAsia="仿宋_GB2312" w:cs="Times New Roman"/>
                <w:i w:val="0"/>
                <w:iCs w:val="0"/>
                <w:color w:val="auto"/>
                <w:kern w:val="0"/>
                <w:sz w:val="18"/>
                <w:szCs w:val="18"/>
                <w:u w:val="none"/>
                <w:lang w:val="en-US" w:eastAsia="zh-CN" w:bidi="ar"/>
              </w:rPr>
              <w:t>结转结余变动率</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0C0B52D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2</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252E984F">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结转结余变动率=〔（本年度累计结转结余资金总额-上年度累计结转结余资金总额）/上年度累计结转结余资金总额〕×100%。</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76D8B553">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结转结余变动率≤0 计满分，每超出 5%扣1分，扣完为止。</w:t>
            </w:r>
          </w:p>
          <w:p w14:paraId="00A2B9C0">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24B757E3">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0470D1A1">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结转结余变动率为0.00%。</w:t>
            </w:r>
          </w:p>
        </w:tc>
      </w:tr>
      <w:tr w14:paraId="6CC10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jc w:val="center"/>
        </w:trPr>
        <w:tc>
          <w:tcPr>
            <w:tcW w:w="269" w:type="pct"/>
            <w:vMerge w:val="continue"/>
            <w:tcBorders>
              <w:top w:val="single" w:color="000000" w:sz="4" w:space="0"/>
              <w:left w:val="single" w:color="auto" w:sz="4" w:space="0"/>
              <w:bottom w:val="single" w:color="000000" w:sz="4" w:space="0"/>
              <w:right w:val="single" w:color="000000" w:sz="4" w:space="0"/>
            </w:tcBorders>
            <w:noWrap w:val="0"/>
            <w:vAlign w:val="center"/>
          </w:tcPr>
          <w:p w14:paraId="0154CC29">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000000" w:sz="4" w:space="0"/>
              <w:left w:val="nil"/>
              <w:bottom w:val="single" w:color="000000" w:sz="4" w:space="0"/>
              <w:right w:val="single" w:color="000000" w:sz="4" w:space="0"/>
            </w:tcBorders>
            <w:noWrap w:val="0"/>
            <w:vAlign w:val="center"/>
          </w:tcPr>
          <w:p w14:paraId="4F53E39B">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000000" w:sz="4" w:space="0"/>
              <w:left w:val="nil"/>
              <w:bottom w:val="single" w:color="000000" w:sz="4" w:space="0"/>
              <w:right w:val="single" w:color="auto" w:sz="4" w:space="0"/>
            </w:tcBorders>
            <w:noWrap w:val="0"/>
            <w:vAlign w:val="center"/>
          </w:tcPr>
          <w:p w14:paraId="41F54B8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公用经费</w:t>
            </w:r>
          </w:p>
          <w:p w14:paraId="28E52359">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3"/>
                <w:rFonts w:hint="default" w:ascii="Times New Roman" w:hAnsi="Times New Roman" w:eastAsia="仿宋_GB2312" w:cs="Times New Roman"/>
                <w:color w:val="auto"/>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控制率</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4327283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2</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24A51717">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公用经费控制率=（实际支出公用经费总额/预算安排公用经费总额）×100%。</w:t>
            </w:r>
          </w:p>
          <w:p w14:paraId="59556750">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公用经费支出是指部门基本支出中的一般商品和服务支出。</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1B56E976">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100%以下（含）计满分，每超出 1%扣0.1分，扣玩为止。</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1200BB17">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61EE74C2">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不含教学与学生管理经费支出，公用经费控制率＜100%,</w:t>
            </w:r>
          </w:p>
        </w:tc>
      </w:tr>
      <w:tr w14:paraId="7608B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jc w:val="center"/>
        </w:trPr>
        <w:tc>
          <w:tcPr>
            <w:tcW w:w="269" w:type="pct"/>
            <w:vMerge w:val="continue"/>
            <w:tcBorders>
              <w:top w:val="single" w:color="000000" w:sz="4" w:space="0"/>
              <w:left w:val="single" w:color="auto" w:sz="4" w:space="0"/>
              <w:bottom w:val="single" w:color="000000" w:sz="4" w:space="0"/>
              <w:right w:val="single" w:color="000000" w:sz="4" w:space="0"/>
            </w:tcBorders>
            <w:noWrap w:val="0"/>
            <w:vAlign w:val="center"/>
          </w:tcPr>
          <w:p w14:paraId="62838820">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000000" w:sz="4" w:space="0"/>
              <w:left w:val="nil"/>
              <w:bottom w:val="single" w:color="000000" w:sz="4" w:space="0"/>
              <w:right w:val="single" w:color="000000" w:sz="4" w:space="0"/>
            </w:tcBorders>
            <w:noWrap w:val="0"/>
            <w:vAlign w:val="center"/>
          </w:tcPr>
          <w:p w14:paraId="50BFFDCC">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000000" w:sz="4" w:space="0"/>
              <w:left w:val="nil"/>
              <w:bottom w:val="single" w:color="000000" w:sz="4" w:space="0"/>
              <w:right w:val="single" w:color="auto" w:sz="4" w:space="0"/>
            </w:tcBorders>
            <w:noWrap w:val="0"/>
            <w:vAlign w:val="center"/>
          </w:tcPr>
          <w:p w14:paraId="1C3DBBCC">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Style w:val="13"/>
                <w:rFonts w:hint="default" w:ascii="Times New Roman" w:hAnsi="Times New Roman" w:eastAsia="仿宋_GB2312" w:cs="Times New Roman"/>
                <w:color w:val="auto"/>
                <w:lang w:val="en-US" w:eastAsia="zh-CN" w:bidi="ar"/>
              </w:rPr>
              <w:t>“</w:t>
            </w:r>
            <w:r>
              <w:rPr>
                <w:rStyle w:val="14"/>
                <w:rFonts w:hint="default" w:ascii="Times New Roman" w:hAnsi="Times New Roman" w:eastAsia="仿宋_GB2312" w:cs="Times New Roman"/>
                <w:color w:val="auto"/>
                <w:lang w:val="en-US" w:eastAsia="zh-CN" w:bidi="ar"/>
              </w:rPr>
              <w:t>三公经费</w:t>
            </w:r>
            <w:r>
              <w:rPr>
                <w:rStyle w:val="13"/>
                <w:rFonts w:hint="default" w:ascii="Times New Roman" w:hAnsi="Times New Roman" w:eastAsia="仿宋_GB2312" w:cs="Times New Roman"/>
                <w:color w:val="auto"/>
                <w:lang w:val="en-US" w:eastAsia="zh-CN" w:bidi="ar"/>
              </w:rPr>
              <w:t>”</w:t>
            </w:r>
            <w:r>
              <w:rPr>
                <w:rStyle w:val="14"/>
                <w:rFonts w:hint="default" w:ascii="Times New Roman" w:hAnsi="Times New Roman" w:eastAsia="仿宋_GB2312" w:cs="Times New Roman"/>
                <w:color w:val="auto"/>
                <w:lang w:val="en-US" w:eastAsia="zh-CN" w:bidi="ar"/>
              </w:rPr>
              <w:t>控制率</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44F781F0">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2</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077A9D52">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“三公经费”控制率=（“三公经费”实际支出数/“三公经费”预算安排数）×100%。不超当年预算，不超上年决算。</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6E4999DE">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“三公经费”控制率100%以下（含）计2分，每超出1%扣0.15分，扣完为止。</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380C2B79">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7ACB8087">
            <w:pPr>
              <w:keepNext w:val="0"/>
              <w:keepLines w:val="0"/>
              <w:pageBreakBefore w:val="0"/>
              <w:widowControl/>
              <w:suppressLineNumbers w:val="0"/>
              <w:kinsoku/>
              <w:wordWrap/>
              <w:overflowPunct/>
              <w:topLinePunct w:val="0"/>
              <w:autoSpaceDE w:val="0"/>
              <w:autoSpaceDN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“三公经费”控制率为32.99%。</w:t>
            </w:r>
          </w:p>
        </w:tc>
      </w:tr>
      <w:tr w14:paraId="03F98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269" w:type="pct"/>
            <w:vMerge w:val="continue"/>
            <w:tcBorders>
              <w:top w:val="single" w:color="000000" w:sz="4" w:space="0"/>
              <w:left w:val="single" w:color="auto" w:sz="4" w:space="0"/>
              <w:bottom w:val="single" w:color="000000" w:sz="4" w:space="0"/>
              <w:right w:val="single" w:color="000000" w:sz="4" w:space="0"/>
            </w:tcBorders>
            <w:noWrap w:val="0"/>
            <w:vAlign w:val="center"/>
          </w:tcPr>
          <w:p w14:paraId="4D2879A6">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000000" w:sz="4" w:space="0"/>
              <w:left w:val="nil"/>
              <w:bottom w:val="single" w:color="auto" w:sz="4" w:space="0"/>
              <w:right w:val="single" w:color="000000" w:sz="4" w:space="0"/>
            </w:tcBorders>
            <w:noWrap w:val="0"/>
            <w:vAlign w:val="center"/>
          </w:tcPr>
          <w:p w14:paraId="477FFDAC">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000000" w:sz="4" w:space="0"/>
              <w:left w:val="nil"/>
              <w:bottom w:val="single" w:color="auto" w:sz="4" w:space="0"/>
              <w:right w:val="single" w:color="auto" w:sz="4" w:space="0"/>
            </w:tcBorders>
            <w:noWrap w:val="0"/>
            <w:vAlign w:val="center"/>
          </w:tcPr>
          <w:p w14:paraId="43389CF5">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政府采购执行率和规范性</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13A39917">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3</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5E9D7849">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①政府采购执行率=（实际政府采购金额/政府采购预算数）×100%；                                     政府采购预算：采购机关根据事业发展计划和行政任务编制的、并经过规定程序批准的年度政府采购计划。                                                   ②预算单位严格执行</w:t>
            </w:r>
            <w:r>
              <w:rPr>
                <w:rStyle w:val="14"/>
                <w:rFonts w:hint="eastAsia" w:ascii="Times New Roman" w:hAnsi="Times New Roman" w:eastAsia="仿宋_GB2312" w:cs="Times New Roman"/>
                <w:color w:val="auto"/>
                <w:lang w:val="en-US" w:eastAsia="zh-CN" w:bidi="ar"/>
              </w:rPr>
              <w:t>《中华人民共和国政府采购法》</w:t>
            </w:r>
            <w:r>
              <w:rPr>
                <w:rStyle w:val="14"/>
                <w:rFonts w:hint="default" w:ascii="Times New Roman" w:hAnsi="Times New Roman" w:eastAsia="仿宋_GB2312" w:cs="Times New Roman"/>
                <w:color w:val="auto"/>
                <w:lang w:val="en-US" w:eastAsia="zh-CN" w:bidi="ar"/>
              </w:rPr>
              <w:t xml:space="preserve">，无规避政府采购或化整为零进行政府采购的行为。所有项目必须依法采购，履行验收手续；                       ③预算单位是否建立健全政府采购内部控制制度，执行是否有效。                     </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68B44794">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lang w:val="en-US" w:eastAsia="zh-CN" w:bidi="ar"/>
              </w:rPr>
            </w:pPr>
            <w:r>
              <w:rPr>
                <w:rStyle w:val="14"/>
                <w:rFonts w:hint="default" w:ascii="Times New Roman" w:hAnsi="Times New Roman" w:eastAsia="仿宋_GB2312" w:cs="Times New Roman"/>
                <w:color w:val="auto"/>
                <w:lang w:val="en-US" w:eastAsia="zh-CN" w:bidi="ar"/>
              </w:rPr>
              <w:t>①政府采购执行率100%计1分，每超过（降低）1%扣0.1分，扣完为止；                                                     ②所有项目依法采购，无规避政府采购或化整为零进行政府采购的行为，并履行验收手续计1分，否则不得分；                                                 ③预算单位建立了政府采购内控制度且执行有效得1分，否则不得分。</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315FA4A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4CE72AD2">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政府采购预算7,630万元，5,278.11万元，实际政府采购执行率69.18%，扣1分。</w:t>
            </w:r>
          </w:p>
        </w:tc>
      </w:tr>
      <w:tr w14:paraId="5E02B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269" w:type="pct"/>
            <w:vMerge w:val="continue"/>
            <w:tcBorders>
              <w:top w:val="single" w:color="000000" w:sz="4" w:space="0"/>
              <w:left w:val="single" w:color="auto" w:sz="4" w:space="0"/>
              <w:bottom w:val="single" w:color="000000" w:sz="4" w:space="0"/>
              <w:right w:val="single" w:color="auto" w:sz="4" w:space="0"/>
            </w:tcBorders>
            <w:noWrap w:val="0"/>
            <w:vAlign w:val="center"/>
          </w:tcPr>
          <w:p w14:paraId="2647083E">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restart"/>
            <w:tcBorders>
              <w:top w:val="single" w:color="auto" w:sz="4" w:space="0"/>
              <w:left w:val="single" w:color="auto" w:sz="4" w:space="0"/>
              <w:bottom w:val="single" w:color="auto" w:sz="4" w:space="0"/>
              <w:right w:val="single" w:color="auto" w:sz="4" w:space="0"/>
            </w:tcBorders>
            <w:noWrap w:val="0"/>
            <w:vAlign w:val="center"/>
          </w:tcPr>
          <w:p w14:paraId="275DD9D0">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预算管理（15分）</w:t>
            </w:r>
          </w:p>
        </w:tc>
        <w:tc>
          <w:tcPr>
            <w:tcW w:w="377" w:type="pct"/>
            <w:tcBorders>
              <w:top w:val="single" w:color="auto" w:sz="4" w:space="0"/>
              <w:left w:val="single" w:color="auto" w:sz="4" w:space="0"/>
              <w:bottom w:val="single" w:color="auto" w:sz="4" w:space="0"/>
              <w:right w:val="single" w:color="auto" w:sz="4" w:space="0"/>
            </w:tcBorders>
            <w:noWrap w:val="0"/>
            <w:vAlign w:val="center"/>
          </w:tcPr>
          <w:p w14:paraId="211AF0E5">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管理制度</w:t>
            </w:r>
          </w:p>
          <w:p w14:paraId="7F05227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 xml:space="preserve"> 健全性</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4F64E830">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3</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7C204BEF">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①部门（单位）内控制度、内部财务管理制度和会计核算制度是否健全；                                      ②相关管理制度是否合法、合规、完整；                       ③相关管理制度是否得到有效执行；                             ④落实政府2022年“过紧日子”政策的具体举措及实施情况。</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6E575012">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①部门（单位）内控制度、内部财务管理制度和会计核算制度健全，计1分，否则酌情扣分；                                          ②管理制度合法、合规、完整，计0.5分，否则酌情扣分；                                            ③管理制度得到有效执行，计1分，1例不符合扣0.2分；                                              ④对非刚性项目支出压减5%及以上，计0.5分，否则不得分。</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1715DDD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0178E35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财务和业务管理制度健全，预算收支执行不到位，扣1分。</w:t>
            </w:r>
          </w:p>
        </w:tc>
      </w:tr>
      <w:tr w14:paraId="3C0FB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2" w:hRule="atLeast"/>
          <w:jc w:val="center"/>
        </w:trPr>
        <w:tc>
          <w:tcPr>
            <w:tcW w:w="269" w:type="pct"/>
            <w:vMerge w:val="continue"/>
            <w:tcBorders>
              <w:top w:val="single" w:color="000000" w:sz="4" w:space="0"/>
              <w:left w:val="single" w:color="auto" w:sz="4" w:space="0"/>
              <w:bottom w:val="single" w:color="000000" w:sz="4" w:space="0"/>
              <w:right w:val="single" w:color="auto" w:sz="4" w:space="0"/>
            </w:tcBorders>
            <w:noWrap w:val="0"/>
            <w:vAlign w:val="center"/>
          </w:tcPr>
          <w:p w14:paraId="0B5058A1">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auto" w:sz="4" w:space="0"/>
              <w:left w:val="single" w:color="auto" w:sz="4" w:space="0"/>
              <w:bottom w:val="single" w:color="auto" w:sz="4" w:space="0"/>
              <w:right w:val="single" w:color="auto" w:sz="4" w:space="0"/>
            </w:tcBorders>
            <w:noWrap w:val="0"/>
            <w:vAlign w:val="center"/>
          </w:tcPr>
          <w:p w14:paraId="4C031A0E">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auto" w:sz="4" w:space="0"/>
              <w:left w:val="single" w:color="auto" w:sz="4" w:space="0"/>
              <w:bottom w:val="single" w:color="auto" w:sz="4" w:space="0"/>
              <w:right w:val="single" w:color="auto" w:sz="4" w:space="0"/>
            </w:tcBorders>
            <w:noWrap w:val="0"/>
            <w:vAlign w:val="center"/>
          </w:tcPr>
          <w:p w14:paraId="2C35FF3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资金使用</w:t>
            </w:r>
          </w:p>
          <w:p w14:paraId="5DE4079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 xml:space="preserve"> 合规性</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7F0E585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6</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446BA29D">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①是否符合国家财经法规和财务管理制度以及有关专项资金管理办法的规定；                                    ②资金的支付是否有完整的审批程序和手续；                                  ③重大项目开支和大额资金使用是否经单位党组集体研究决策；                                               ④是否符合项目预算批复或合同规定的用途；                                    ⑤是否存在截留、挤占、挪用、虚列支出等情况；                                                  ⑥是否存在重复申报项目、虚报冒领资金。</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0672BCB9">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①符合国家财经法规和财务管理制度以及有关专项资金管理办法的规定，计1分，1例不符合扣0.2分；                                       ②资金的支付有完整的审批程序和手续，计1分，1例不符合扣0.2分；                                             ③重大项目开支和大额资金使用经过单位党组集体研究决策，计1分，1例不符合扣0.2分；                                     ④符合项目预算批复或合同规定的用途，计1分，1例不符合扣0.2分；                                           ⑤不存在截留、挤占、挪用、虚列支出等情况，计1分，1例不符合本指标1分全扣；                                               ⑥不存在重复申报项目、虚报冒领资金，计1分，1例不符合本指标1分全扣。</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1C7E4A3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1748E06D">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财务管理欠规范，且存在资金调剂使用等情况，扣4分。</w:t>
            </w:r>
          </w:p>
        </w:tc>
      </w:tr>
      <w:tr w14:paraId="738D7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269" w:type="pct"/>
            <w:vMerge w:val="continue"/>
            <w:tcBorders>
              <w:top w:val="single" w:color="000000" w:sz="4" w:space="0"/>
              <w:left w:val="single" w:color="auto" w:sz="4" w:space="0"/>
              <w:bottom w:val="single" w:color="000000" w:sz="4" w:space="0"/>
              <w:right w:val="single" w:color="auto" w:sz="4" w:space="0"/>
            </w:tcBorders>
            <w:noWrap w:val="0"/>
            <w:vAlign w:val="center"/>
          </w:tcPr>
          <w:p w14:paraId="3DCB4068">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auto" w:sz="4" w:space="0"/>
              <w:left w:val="single" w:color="auto" w:sz="4" w:space="0"/>
              <w:bottom w:val="single" w:color="auto" w:sz="4" w:space="0"/>
              <w:right w:val="single" w:color="auto" w:sz="4" w:space="0"/>
            </w:tcBorders>
            <w:noWrap w:val="0"/>
            <w:vAlign w:val="center"/>
          </w:tcPr>
          <w:p w14:paraId="08BE6898">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auto" w:sz="4" w:space="0"/>
              <w:left w:val="single" w:color="auto" w:sz="4" w:space="0"/>
              <w:bottom w:val="single" w:color="auto" w:sz="4" w:space="0"/>
              <w:right w:val="single" w:color="auto" w:sz="4" w:space="0"/>
            </w:tcBorders>
            <w:noWrap w:val="0"/>
            <w:vAlign w:val="center"/>
          </w:tcPr>
          <w:p w14:paraId="51C387B5">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预决算信息</w:t>
            </w:r>
          </w:p>
          <w:p w14:paraId="11A4E82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公开性</w:t>
            </w:r>
          </w:p>
        </w:tc>
        <w:tc>
          <w:tcPr>
            <w:tcW w:w="176" w:type="pct"/>
            <w:tcBorders>
              <w:top w:val="single" w:color="000000" w:sz="4" w:space="0"/>
              <w:left w:val="single" w:color="auto" w:sz="4" w:space="0"/>
              <w:bottom w:val="single" w:color="000000" w:sz="4" w:space="0"/>
              <w:right w:val="single" w:color="000000" w:sz="4" w:space="0"/>
            </w:tcBorders>
            <w:noWrap w:val="0"/>
            <w:vAlign w:val="center"/>
          </w:tcPr>
          <w:p w14:paraId="1392375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2</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78B97F32">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①预算单位按规定及时、准确、完整的公开预决算和绩效管理信息；                                        ②基础数据信息和会计信息资料真实、准确、完整。</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3861C5D7">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①②各计1分，否则，酌情扣分。</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458FED60">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1.2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43092DB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公开预决算和绩效管理信息不完整；预决算信息公开,决算数据不准，扣0.8分。</w:t>
            </w:r>
          </w:p>
        </w:tc>
      </w:tr>
      <w:tr w14:paraId="6C353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jc w:val="center"/>
        </w:trPr>
        <w:tc>
          <w:tcPr>
            <w:tcW w:w="269" w:type="pct"/>
            <w:vMerge w:val="continue"/>
            <w:tcBorders>
              <w:top w:val="single" w:color="000000" w:sz="4" w:space="0"/>
              <w:left w:val="single" w:color="auto" w:sz="4" w:space="0"/>
              <w:bottom w:val="single" w:color="auto" w:sz="4" w:space="0"/>
              <w:right w:val="single" w:color="auto" w:sz="4" w:space="0"/>
            </w:tcBorders>
            <w:shd w:val="clear" w:color="auto" w:fill="auto"/>
            <w:noWrap w:val="0"/>
            <w:vAlign w:val="center"/>
          </w:tcPr>
          <w:p w14:paraId="02DFA655">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auto" w:sz="4" w:space="0"/>
              <w:left w:val="single" w:color="auto" w:sz="4" w:space="0"/>
              <w:bottom w:val="single" w:color="auto" w:sz="4" w:space="0"/>
              <w:right w:val="nil"/>
            </w:tcBorders>
            <w:shd w:val="clear" w:color="auto" w:fill="auto"/>
            <w:noWrap w:val="0"/>
            <w:vAlign w:val="center"/>
          </w:tcPr>
          <w:p w14:paraId="07CA3A68">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auto" w:sz="4" w:space="0"/>
              <w:left w:val="single" w:color="000000" w:sz="4" w:space="0"/>
              <w:bottom w:val="single" w:color="auto" w:sz="4" w:space="0"/>
              <w:right w:val="single" w:color="auto" w:sz="4" w:space="0"/>
            </w:tcBorders>
            <w:shd w:val="clear" w:color="auto" w:fill="FFFFFF"/>
            <w:noWrap w:val="0"/>
            <w:vAlign w:val="center"/>
          </w:tcPr>
          <w:p w14:paraId="27995ADC">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绩效自评管理情况</w:t>
            </w:r>
          </w:p>
        </w:tc>
        <w:tc>
          <w:tcPr>
            <w:tcW w:w="176" w:type="pct"/>
            <w:tcBorders>
              <w:top w:val="single" w:color="000000" w:sz="4" w:space="0"/>
              <w:left w:val="single" w:color="auto" w:sz="4" w:space="0"/>
              <w:bottom w:val="single" w:color="000000" w:sz="4" w:space="0"/>
              <w:right w:val="single" w:color="000000" w:sz="4" w:space="0"/>
            </w:tcBorders>
            <w:shd w:val="clear" w:color="auto" w:fill="FFFFFF"/>
            <w:noWrap w:val="0"/>
            <w:vAlign w:val="center"/>
          </w:tcPr>
          <w:p w14:paraId="69186B0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4</w:t>
            </w:r>
          </w:p>
        </w:tc>
        <w:tc>
          <w:tcPr>
            <w:tcW w:w="12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E47A9C">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①是否按要求开展绩效自评工作，绩效自评报告报送及时；                                            ②绩效自评报告是否完整，数据是否全面、真实、准确，绩效指标是否细化量化和科学合理，绩效自评反映的问题是否具体，意见是否可行，自评发现的问题是否整改。</w:t>
            </w:r>
          </w:p>
        </w:tc>
        <w:tc>
          <w:tcPr>
            <w:tcW w:w="154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D8E891">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 xml:space="preserve">①按要求开展绩效自评工作，绩效自评报告报送及时，计1分，否则，不得分；                                            ②绩效自评报告是否完整，数据是否全面、真实、准确，绩效指标是否细化量化和科学合理，计1分，1例不符合扣0.2分；                                                                ③绩效自评反映的问题是否具体，意见是否可行，自评发现的问题是否整改计2分，1例不符合扣0.4分。        </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32F9293C">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1</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6C81CD1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自评信息不准，绩效指标可测量性较差，绩效自评反映的问题不具体，扣3分。</w:t>
            </w:r>
          </w:p>
        </w:tc>
      </w:tr>
      <w:tr w14:paraId="3DF8A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6" w:hRule="atLeast"/>
          <w:jc w:val="center"/>
        </w:trPr>
        <w:tc>
          <w:tcPr>
            <w:tcW w:w="269" w:type="pct"/>
            <w:vMerge w:val="continue"/>
            <w:tcBorders>
              <w:top w:val="single" w:color="auto" w:sz="4" w:space="0"/>
              <w:left w:val="single" w:color="auto" w:sz="4" w:space="0"/>
              <w:bottom w:val="single" w:color="000000" w:sz="4" w:space="0"/>
              <w:right w:val="single" w:color="000000" w:sz="4" w:space="0"/>
            </w:tcBorders>
            <w:noWrap w:val="0"/>
            <w:vAlign w:val="center"/>
          </w:tcPr>
          <w:p w14:paraId="1AC6CF91">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restart"/>
            <w:tcBorders>
              <w:top w:val="single" w:color="auto" w:sz="4" w:space="0"/>
              <w:left w:val="nil"/>
              <w:bottom w:val="single" w:color="000000" w:sz="4" w:space="0"/>
              <w:right w:val="single" w:color="000000" w:sz="4" w:space="0"/>
            </w:tcBorders>
            <w:noWrap w:val="0"/>
            <w:vAlign w:val="center"/>
          </w:tcPr>
          <w:p w14:paraId="39F5FB6C">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资产管理        （5分）</w:t>
            </w:r>
          </w:p>
        </w:tc>
        <w:tc>
          <w:tcPr>
            <w:tcW w:w="377" w:type="pct"/>
            <w:tcBorders>
              <w:top w:val="single" w:color="auto" w:sz="4" w:space="0"/>
              <w:left w:val="single" w:color="000000" w:sz="4" w:space="0"/>
              <w:bottom w:val="single" w:color="000000" w:sz="4" w:space="0"/>
              <w:right w:val="single" w:color="000000" w:sz="4" w:space="0"/>
            </w:tcBorders>
            <w:noWrap w:val="0"/>
            <w:vAlign w:val="center"/>
          </w:tcPr>
          <w:p w14:paraId="555EAC0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资产管理</w:t>
            </w:r>
          </w:p>
          <w:p w14:paraId="62366A4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 xml:space="preserve"> 制度健全性</w:t>
            </w:r>
          </w:p>
        </w:tc>
        <w:tc>
          <w:tcPr>
            <w:tcW w:w="176" w:type="pct"/>
            <w:tcBorders>
              <w:top w:val="single" w:color="000000" w:sz="4" w:space="0"/>
              <w:left w:val="single" w:color="000000" w:sz="4" w:space="0"/>
              <w:bottom w:val="single" w:color="000000" w:sz="4" w:space="0"/>
              <w:right w:val="single" w:color="000000" w:sz="4" w:space="0"/>
            </w:tcBorders>
            <w:noWrap w:val="0"/>
            <w:vAlign w:val="center"/>
          </w:tcPr>
          <w:p w14:paraId="1075B026">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2</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1028FEF8">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 xml:space="preserve">①是否已制定合法、合规、完整的资产管理制度；                                                 ②相关资产管理制度是否得到有效执行；                             ③资产配置是否编制年度预算；                             ④资产配置预算实际执行情况。         </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7914B540">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 xml:space="preserve">①已制定合法、合规、完整的资产管理制度，计0.5分，否则不得分；                                                         ②相关资产管理制度得到有效执行，计0.5分，否则，不得分；                                                                ③资产管理编制年度预算，计0.5分，未编制不得分。                                                     ④资产配置预算实际执行情况未超年度预算（按程序审批除外），计0.5分，否则，不得分。                </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25230A3C">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1.5</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464F8609">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资产管理制度完善，执行不到位。扣0.5分。</w:t>
            </w:r>
          </w:p>
        </w:tc>
      </w:tr>
      <w:tr w14:paraId="7D045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6" w:hRule="atLeast"/>
          <w:jc w:val="center"/>
        </w:trPr>
        <w:tc>
          <w:tcPr>
            <w:tcW w:w="269" w:type="pct"/>
            <w:vMerge w:val="continue"/>
            <w:tcBorders>
              <w:top w:val="single" w:color="000000" w:sz="4" w:space="0"/>
              <w:left w:val="single" w:color="auto" w:sz="4" w:space="0"/>
              <w:bottom w:val="single" w:color="000000" w:sz="4" w:space="0"/>
              <w:right w:val="single" w:color="000000" w:sz="4" w:space="0"/>
            </w:tcBorders>
            <w:noWrap w:val="0"/>
            <w:vAlign w:val="center"/>
          </w:tcPr>
          <w:p w14:paraId="262D004C">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000000" w:sz="4" w:space="0"/>
              <w:left w:val="nil"/>
              <w:bottom w:val="single" w:color="000000" w:sz="4" w:space="0"/>
              <w:right w:val="single" w:color="000000" w:sz="4" w:space="0"/>
            </w:tcBorders>
            <w:noWrap w:val="0"/>
            <w:vAlign w:val="center"/>
          </w:tcPr>
          <w:p w14:paraId="7637546D">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000000" w:sz="4" w:space="0"/>
              <w:left w:val="single" w:color="000000" w:sz="4" w:space="0"/>
              <w:bottom w:val="single" w:color="auto" w:sz="4" w:space="0"/>
              <w:right w:val="single" w:color="000000" w:sz="4" w:space="0"/>
            </w:tcBorders>
            <w:noWrap w:val="0"/>
            <w:vAlign w:val="center"/>
          </w:tcPr>
          <w:p w14:paraId="78DB0DE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 xml:space="preserve">资产管理 </w:t>
            </w:r>
          </w:p>
          <w:p w14:paraId="3BB0524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安全性</w:t>
            </w:r>
          </w:p>
        </w:tc>
        <w:tc>
          <w:tcPr>
            <w:tcW w:w="176" w:type="pct"/>
            <w:tcBorders>
              <w:top w:val="single" w:color="000000" w:sz="4" w:space="0"/>
              <w:left w:val="single" w:color="000000" w:sz="4" w:space="0"/>
              <w:bottom w:val="single" w:color="auto" w:sz="4" w:space="0"/>
              <w:right w:val="single" w:color="000000" w:sz="4" w:space="0"/>
            </w:tcBorders>
            <w:noWrap w:val="0"/>
            <w:vAlign w:val="center"/>
          </w:tcPr>
          <w:p w14:paraId="29B37EF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2</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00FC219A">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①资产保存是否完整并有台账；                                   ②资产配置是否合理，是否有闲置现象；                      ③资产处置是否规范；                                      ④资产账务管理是否合规，是否</w:t>
            </w:r>
            <w:r>
              <w:rPr>
                <w:rFonts w:hint="eastAsia" w:ascii="Times New Roman" w:hAnsi="Times New Roman" w:eastAsia="仿宋_GB2312" w:cs="Times New Roman"/>
                <w:i w:val="0"/>
                <w:iCs w:val="0"/>
                <w:color w:val="auto"/>
                <w:kern w:val="0"/>
                <w:sz w:val="18"/>
                <w:szCs w:val="18"/>
                <w:u w:val="none"/>
                <w:lang w:val="en-US" w:eastAsia="zh-CN" w:bidi="ar"/>
              </w:rPr>
              <w:t>账实相符</w:t>
            </w:r>
            <w:r>
              <w:rPr>
                <w:rFonts w:hint="default" w:ascii="Times New Roman" w:hAnsi="Times New Roman" w:eastAsia="仿宋_GB2312" w:cs="Times New Roman"/>
                <w:i w:val="0"/>
                <w:iCs w:val="0"/>
                <w:color w:val="auto"/>
                <w:kern w:val="0"/>
                <w:sz w:val="18"/>
                <w:szCs w:val="18"/>
                <w:u w:val="none"/>
                <w:lang w:val="en-US" w:eastAsia="zh-CN" w:bidi="ar"/>
              </w:rPr>
              <w:t>；                                 ⑤资产是否有偿使用或处置收入及时足额上缴；                                                   ⑥相关资产购置是否履行政府采购手续，外租资产是否走合规程序；                                           ⑦资产是否定期进行盘点并有记录。</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49DEEFC8">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①资产配置合理符合标准、保管完整，账务管理规范，定期盘点并有台账，账实相符的，计0.5分，发现一例不符，扣0.1分，扣完为止；                                                ②资产处置规范，计0.3分，发现一例不符，扣0.1分，扣完为止；资产无闲置现象，计0.2分，发现一例，扣0.1分，扣完为止；                                                       ③资产有偿使用或处置收入及时足额上缴，计0.5分，发现未上缴，本项不得分；                                                ④资产购置履行政府采购手续，计0.3分，发现一例不符，扣0.1分，扣完为止；外租资产全部走合规程序，计0.2分，发现一例不合规，扣0.1分，扣完为止。</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7E829A7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1.8</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05F54009">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未出资产清查报告，存在账实不符情形，扣0.2分。</w:t>
            </w:r>
          </w:p>
        </w:tc>
      </w:tr>
      <w:tr w14:paraId="55B8A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jc w:val="center"/>
        </w:trPr>
        <w:tc>
          <w:tcPr>
            <w:tcW w:w="269" w:type="pct"/>
            <w:vMerge w:val="continue"/>
            <w:tcBorders>
              <w:top w:val="single" w:color="000000" w:sz="4" w:space="0"/>
              <w:left w:val="single" w:color="auto" w:sz="4" w:space="0"/>
              <w:bottom w:val="single" w:color="auto" w:sz="4" w:space="0"/>
              <w:right w:val="single" w:color="000000" w:sz="4" w:space="0"/>
            </w:tcBorders>
            <w:noWrap w:val="0"/>
            <w:vAlign w:val="center"/>
          </w:tcPr>
          <w:p w14:paraId="722AF598">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000000" w:sz="4" w:space="0"/>
              <w:left w:val="nil"/>
              <w:bottom w:val="single" w:color="auto" w:sz="4" w:space="0"/>
              <w:right w:val="single" w:color="auto" w:sz="4" w:space="0"/>
            </w:tcBorders>
            <w:noWrap w:val="0"/>
            <w:vAlign w:val="center"/>
          </w:tcPr>
          <w:p w14:paraId="34499F24">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377" w:type="pct"/>
            <w:tcBorders>
              <w:top w:val="single" w:color="auto" w:sz="4" w:space="0"/>
              <w:left w:val="single" w:color="auto" w:sz="4" w:space="0"/>
              <w:bottom w:val="single" w:color="auto" w:sz="4" w:space="0"/>
              <w:right w:val="single" w:color="auto" w:sz="4" w:space="0"/>
            </w:tcBorders>
            <w:noWrap w:val="0"/>
            <w:vAlign w:val="center"/>
          </w:tcPr>
          <w:p w14:paraId="2ABEEFD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资产保管和使用情况</w:t>
            </w:r>
          </w:p>
        </w:tc>
        <w:tc>
          <w:tcPr>
            <w:tcW w:w="176" w:type="pct"/>
            <w:tcBorders>
              <w:top w:val="single" w:color="auto" w:sz="4" w:space="0"/>
              <w:left w:val="single" w:color="auto" w:sz="4" w:space="0"/>
              <w:bottom w:val="single" w:color="auto" w:sz="4" w:space="0"/>
              <w:right w:val="single" w:color="auto" w:sz="4" w:space="0"/>
            </w:tcBorders>
            <w:noWrap w:val="0"/>
            <w:vAlign w:val="center"/>
          </w:tcPr>
          <w:p w14:paraId="37CB589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1</w:t>
            </w:r>
          </w:p>
        </w:tc>
        <w:tc>
          <w:tcPr>
            <w:tcW w:w="1229" w:type="pct"/>
            <w:tcBorders>
              <w:top w:val="single" w:color="000000" w:sz="4" w:space="0"/>
              <w:left w:val="single" w:color="auto" w:sz="4" w:space="0"/>
              <w:bottom w:val="single" w:color="auto" w:sz="4" w:space="0"/>
              <w:right w:val="single" w:color="000000" w:sz="4" w:space="0"/>
            </w:tcBorders>
            <w:noWrap w:val="0"/>
            <w:vAlign w:val="center"/>
          </w:tcPr>
          <w:p w14:paraId="22DA427E">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①是否建立固定资产台账，实行编码管理；                    ②固定资产增减变化是否建立审批程序；                          ③固定资产是否有闲置浪费现象。</w:t>
            </w:r>
          </w:p>
        </w:tc>
        <w:tc>
          <w:tcPr>
            <w:tcW w:w="1545" w:type="pct"/>
            <w:tcBorders>
              <w:top w:val="single" w:color="000000" w:sz="4" w:space="0"/>
              <w:left w:val="single" w:color="000000" w:sz="4" w:space="0"/>
              <w:bottom w:val="single" w:color="auto" w:sz="4" w:space="0"/>
              <w:right w:val="single" w:color="000000" w:sz="4" w:space="0"/>
            </w:tcBorders>
            <w:noWrap w:val="0"/>
            <w:vAlign w:val="center"/>
          </w:tcPr>
          <w:p w14:paraId="17868B5A">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建了固定资产台账实行编码管理的计0.25分；                            建立了固定资产增减变化审批程序的计0.25分，否则不得分；                                                                            固定资产无闲置浪费现象计0.5分，发现一处扣0.1分，扣完为止。</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77483822">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1</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69B6DC49">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资产保管和使用</w:t>
            </w:r>
          </w:p>
          <w:p w14:paraId="483BD2A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情况良好。</w:t>
            </w:r>
          </w:p>
        </w:tc>
      </w:tr>
      <w:tr w14:paraId="428FC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6" w:hRule="atLeast"/>
          <w:jc w:val="center"/>
        </w:trPr>
        <w:tc>
          <w:tcPr>
            <w:tcW w:w="269" w:type="pct"/>
            <w:vMerge w:val="restart"/>
            <w:tcBorders>
              <w:top w:val="single" w:color="auto" w:sz="4" w:space="0"/>
              <w:left w:val="single" w:color="auto" w:sz="4" w:space="0"/>
              <w:bottom w:val="single" w:color="auto" w:sz="4" w:space="0"/>
              <w:right w:val="single" w:color="auto" w:sz="4" w:space="0"/>
            </w:tcBorders>
            <w:noWrap w:val="0"/>
            <w:vAlign w:val="center"/>
          </w:tcPr>
          <w:p w14:paraId="352316E3">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产出   （26分）</w:t>
            </w:r>
          </w:p>
        </w:tc>
        <w:tc>
          <w:tcPr>
            <w:tcW w:w="208" w:type="pct"/>
            <w:vMerge w:val="restart"/>
            <w:tcBorders>
              <w:top w:val="single" w:color="auto" w:sz="4" w:space="0"/>
              <w:left w:val="single" w:color="auto" w:sz="4" w:space="0"/>
              <w:bottom w:val="single" w:color="auto" w:sz="4" w:space="0"/>
              <w:right w:val="single" w:color="auto" w:sz="4" w:space="0"/>
            </w:tcBorders>
            <w:noWrap w:val="0"/>
            <w:vAlign w:val="center"/>
          </w:tcPr>
          <w:p w14:paraId="2412885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i w:val="0"/>
                <w:iCs w:val="0"/>
                <w:color w:val="auto"/>
                <w:kern w:val="0"/>
                <w:sz w:val="20"/>
                <w:szCs w:val="20"/>
                <w:u w:val="none"/>
                <w:lang w:val="en-US" w:eastAsia="zh-CN" w:bidi="ar"/>
              </w:rPr>
              <w:t>实际             完成率</w:t>
            </w:r>
          </w:p>
        </w:tc>
        <w:tc>
          <w:tcPr>
            <w:tcW w:w="377" w:type="pct"/>
            <w:tcBorders>
              <w:top w:val="single" w:color="auto" w:sz="4" w:space="0"/>
              <w:left w:val="single" w:color="auto" w:sz="4" w:space="0"/>
              <w:bottom w:val="single" w:color="auto" w:sz="4" w:space="0"/>
              <w:right w:val="single" w:color="auto" w:sz="4" w:space="0"/>
            </w:tcBorders>
            <w:noWrap w:val="0"/>
            <w:vAlign w:val="center"/>
          </w:tcPr>
          <w:p w14:paraId="795BBBB3">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lang w:val="en-US"/>
              </w:rPr>
            </w:pPr>
            <w:r>
              <w:rPr>
                <w:rFonts w:hint="default" w:ascii="Times New Roman" w:hAnsi="Times New Roman" w:eastAsia="仿宋_GB2312" w:cs="Times New Roman"/>
                <w:i w:val="0"/>
                <w:iCs w:val="0"/>
                <w:color w:val="auto"/>
                <w:kern w:val="0"/>
                <w:sz w:val="20"/>
                <w:szCs w:val="20"/>
                <w:u w:val="none"/>
                <w:lang w:val="en-US" w:eastAsia="zh-CN" w:bidi="ar"/>
              </w:rPr>
              <w:t>招生人数完成情况</w:t>
            </w:r>
          </w:p>
        </w:tc>
        <w:tc>
          <w:tcPr>
            <w:tcW w:w="176" w:type="pct"/>
            <w:tcBorders>
              <w:top w:val="single" w:color="auto" w:sz="4" w:space="0"/>
              <w:left w:val="single" w:color="auto" w:sz="4" w:space="0"/>
              <w:bottom w:val="single" w:color="auto" w:sz="4" w:space="0"/>
              <w:right w:val="single" w:color="auto" w:sz="4" w:space="0"/>
            </w:tcBorders>
            <w:noWrap w:val="0"/>
            <w:vAlign w:val="center"/>
          </w:tcPr>
          <w:p w14:paraId="2FC55B27">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229" w:type="pct"/>
            <w:vMerge w:val="restart"/>
            <w:tcBorders>
              <w:top w:val="single" w:color="auto" w:sz="4" w:space="0"/>
              <w:left w:val="single" w:color="auto" w:sz="4" w:space="0"/>
              <w:bottom w:val="single" w:color="auto" w:sz="4" w:space="0"/>
              <w:right w:val="single" w:color="auto" w:sz="4" w:space="0"/>
            </w:tcBorders>
            <w:noWrap w:val="0"/>
            <w:vAlign w:val="center"/>
          </w:tcPr>
          <w:p w14:paraId="6253185A">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部门履行职责而实际完成工作数与计划工作数的比率，用以反映和考核部门履职工作任务目标的实现程度。部门工作受到上级通报表扬或批评情况。</w:t>
            </w:r>
          </w:p>
          <w:p w14:paraId="05F1A932">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p>
        </w:tc>
        <w:tc>
          <w:tcPr>
            <w:tcW w:w="1545" w:type="pct"/>
            <w:tcBorders>
              <w:top w:val="single" w:color="auto" w:sz="4" w:space="0"/>
              <w:left w:val="single" w:color="auto" w:sz="4" w:space="0"/>
              <w:bottom w:val="single" w:color="auto" w:sz="4" w:space="0"/>
              <w:right w:val="single" w:color="auto" w:sz="4" w:space="0"/>
            </w:tcBorders>
            <w:noWrap w:val="0"/>
            <w:vAlign w:val="center"/>
          </w:tcPr>
          <w:p w14:paraId="2E1254A4">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 xml:space="preserve">实际完成率=（实际完成工作数/计划工作数）*100%＞95%。实际完成工作数：一定时期（年度或规划期）内部门实际完成工作任务的数量。计划工作数：部门整体绩效目标确定的一定时期（年度或规划期）内预计完成工作任务的数量。每降低1%扣0.3分，扣完为止。   </w:t>
            </w:r>
          </w:p>
        </w:tc>
        <w:tc>
          <w:tcPr>
            <w:tcW w:w="180" w:type="pct"/>
            <w:tcBorders>
              <w:top w:val="single" w:color="000000" w:sz="4" w:space="0"/>
              <w:left w:val="single" w:color="auto" w:sz="4" w:space="0"/>
              <w:bottom w:val="single" w:color="000000" w:sz="4" w:space="0"/>
              <w:right w:val="single" w:color="000000" w:sz="4" w:space="0"/>
            </w:tcBorders>
            <w:noWrap w:val="0"/>
            <w:vAlign w:val="center"/>
          </w:tcPr>
          <w:p w14:paraId="1F2EDBE2">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68F66D02">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招生计划大于3000人，实际完成3023人，实际完成率大于100%。</w:t>
            </w:r>
          </w:p>
        </w:tc>
      </w:tr>
      <w:tr w14:paraId="693C6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6"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14:paraId="04B4E82C">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p>
        </w:tc>
        <w:tc>
          <w:tcPr>
            <w:tcW w:w="208" w:type="pct"/>
            <w:vMerge w:val="continue"/>
            <w:tcBorders>
              <w:top w:val="single" w:color="auto" w:sz="4" w:space="0"/>
              <w:left w:val="single" w:color="auto" w:sz="4" w:space="0"/>
              <w:bottom w:val="single" w:color="auto" w:sz="4" w:space="0"/>
              <w:right w:val="single" w:color="auto" w:sz="4" w:space="0"/>
            </w:tcBorders>
            <w:noWrap w:val="0"/>
            <w:vAlign w:val="center"/>
          </w:tcPr>
          <w:p w14:paraId="34E7971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p>
        </w:tc>
        <w:tc>
          <w:tcPr>
            <w:tcW w:w="377" w:type="pct"/>
            <w:tcBorders>
              <w:top w:val="single" w:color="auto" w:sz="4" w:space="0"/>
              <w:left w:val="single" w:color="auto" w:sz="4" w:space="0"/>
              <w:bottom w:val="single" w:color="auto" w:sz="4" w:space="0"/>
              <w:right w:val="single" w:color="auto" w:sz="4" w:space="0"/>
            </w:tcBorders>
            <w:noWrap w:val="0"/>
            <w:vAlign w:val="center"/>
          </w:tcPr>
          <w:p w14:paraId="4E52236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培训人次完成情况</w:t>
            </w:r>
          </w:p>
        </w:tc>
        <w:tc>
          <w:tcPr>
            <w:tcW w:w="176" w:type="pct"/>
            <w:tcBorders>
              <w:top w:val="single" w:color="auto" w:sz="4" w:space="0"/>
              <w:left w:val="single" w:color="auto" w:sz="4" w:space="0"/>
              <w:bottom w:val="single" w:color="auto" w:sz="4" w:space="0"/>
              <w:right w:val="single" w:color="auto" w:sz="4" w:space="0"/>
            </w:tcBorders>
            <w:noWrap w:val="0"/>
            <w:vAlign w:val="center"/>
          </w:tcPr>
          <w:p w14:paraId="7891194C">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229" w:type="pct"/>
            <w:vMerge w:val="continue"/>
            <w:tcBorders>
              <w:top w:val="single" w:color="auto" w:sz="4" w:space="0"/>
              <w:left w:val="single" w:color="auto" w:sz="4" w:space="0"/>
              <w:bottom w:val="single" w:color="auto" w:sz="4" w:space="0"/>
              <w:right w:val="single" w:color="auto" w:sz="4" w:space="0"/>
            </w:tcBorders>
            <w:noWrap w:val="0"/>
            <w:vAlign w:val="center"/>
          </w:tcPr>
          <w:p w14:paraId="2CD78076">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p>
        </w:tc>
        <w:tc>
          <w:tcPr>
            <w:tcW w:w="1545" w:type="pct"/>
            <w:tcBorders>
              <w:top w:val="single" w:color="auto" w:sz="4" w:space="0"/>
              <w:left w:val="single" w:color="auto" w:sz="4" w:space="0"/>
              <w:bottom w:val="single" w:color="auto" w:sz="4" w:space="0"/>
              <w:right w:val="single" w:color="auto" w:sz="4" w:space="0"/>
            </w:tcBorders>
            <w:noWrap w:val="0"/>
            <w:vAlign w:val="center"/>
          </w:tcPr>
          <w:p w14:paraId="7F8204DC">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100%以上(含)计2分；</w:t>
            </w:r>
          </w:p>
          <w:p w14:paraId="1D24C470">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85%(含) -99%，计1.5分;</w:t>
            </w:r>
          </w:p>
          <w:p w14:paraId="7AD2EA83">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75%(含)-85%，计1分;</w:t>
            </w:r>
          </w:p>
          <w:p w14:paraId="417BC1C8">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70% (含)-85%，计0.5分；</w:t>
            </w:r>
          </w:p>
          <w:p w14:paraId="7EACCAD7">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低于 70%计0分。</w:t>
            </w:r>
          </w:p>
        </w:tc>
        <w:tc>
          <w:tcPr>
            <w:tcW w:w="180" w:type="pct"/>
            <w:tcBorders>
              <w:top w:val="single" w:color="000000" w:sz="4" w:space="0"/>
              <w:left w:val="single" w:color="auto" w:sz="4" w:space="0"/>
              <w:bottom w:val="single" w:color="000000" w:sz="4" w:space="0"/>
              <w:right w:val="single" w:color="000000" w:sz="4" w:space="0"/>
            </w:tcBorders>
            <w:noWrap w:val="0"/>
            <w:vAlign w:val="center"/>
          </w:tcPr>
          <w:p w14:paraId="6D6C2767">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60C792CC">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市人社局共同举办专业技术人员继续教育培训、劳动关系协调员培训等共5232人次；技能等级培训认定17022人次。</w:t>
            </w:r>
          </w:p>
        </w:tc>
      </w:tr>
      <w:tr w14:paraId="41D0F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6"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14:paraId="25DB46F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p>
        </w:tc>
        <w:tc>
          <w:tcPr>
            <w:tcW w:w="208" w:type="pct"/>
            <w:vMerge w:val="continue"/>
            <w:tcBorders>
              <w:top w:val="single" w:color="auto" w:sz="4" w:space="0"/>
              <w:left w:val="single" w:color="auto" w:sz="4" w:space="0"/>
              <w:bottom w:val="single" w:color="auto" w:sz="4" w:space="0"/>
              <w:right w:val="single" w:color="auto" w:sz="4" w:space="0"/>
            </w:tcBorders>
            <w:noWrap w:val="0"/>
            <w:vAlign w:val="center"/>
          </w:tcPr>
          <w:p w14:paraId="36C29D2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p>
        </w:tc>
        <w:tc>
          <w:tcPr>
            <w:tcW w:w="377" w:type="pct"/>
            <w:tcBorders>
              <w:top w:val="single" w:color="auto" w:sz="4" w:space="0"/>
              <w:left w:val="single" w:color="auto" w:sz="4" w:space="0"/>
              <w:bottom w:val="single" w:color="auto" w:sz="4" w:space="0"/>
              <w:right w:val="single" w:color="auto" w:sz="4" w:space="0"/>
            </w:tcBorders>
            <w:noWrap w:val="0"/>
            <w:vAlign w:val="center"/>
          </w:tcPr>
          <w:p w14:paraId="635574F7">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新开专业数量完成情况</w:t>
            </w:r>
          </w:p>
        </w:tc>
        <w:tc>
          <w:tcPr>
            <w:tcW w:w="176" w:type="pct"/>
            <w:tcBorders>
              <w:top w:val="single" w:color="auto" w:sz="4" w:space="0"/>
              <w:left w:val="single" w:color="auto" w:sz="4" w:space="0"/>
              <w:bottom w:val="single" w:color="auto" w:sz="4" w:space="0"/>
              <w:right w:val="single" w:color="auto" w:sz="4" w:space="0"/>
            </w:tcBorders>
            <w:noWrap w:val="0"/>
            <w:vAlign w:val="center"/>
          </w:tcPr>
          <w:p w14:paraId="148C0B62">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229" w:type="pct"/>
            <w:vMerge w:val="continue"/>
            <w:tcBorders>
              <w:top w:val="single" w:color="auto" w:sz="4" w:space="0"/>
              <w:left w:val="single" w:color="auto" w:sz="4" w:space="0"/>
              <w:bottom w:val="single" w:color="auto" w:sz="4" w:space="0"/>
              <w:right w:val="single" w:color="auto" w:sz="4" w:space="0"/>
            </w:tcBorders>
            <w:noWrap w:val="0"/>
            <w:vAlign w:val="center"/>
          </w:tcPr>
          <w:p w14:paraId="5FD96F6E">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p>
        </w:tc>
        <w:tc>
          <w:tcPr>
            <w:tcW w:w="1545" w:type="pct"/>
            <w:tcBorders>
              <w:top w:val="single" w:color="auto" w:sz="4" w:space="0"/>
              <w:left w:val="single" w:color="auto" w:sz="4" w:space="0"/>
              <w:bottom w:val="single" w:color="auto" w:sz="4" w:space="0"/>
              <w:right w:val="single" w:color="auto" w:sz="4" w:space="0"/>
            </w:tcBorders>
            <w:noWrap w:val="0"/>
            <w:vAlign w:val="center"/>
          </w:tcPr>
          <w:p w14:paraId="25A83EA8">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5个及以上计2分；每少一个扣0.5分，扣完为止。</w:t>
            </w:r>
          </w:p>
          <w:p w14:paraId="68B6615D">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p>
        </w:tc>
        <w:tc>
          <w:tcPr>
            <w:tcW w:w="180" w:type="pct"/>
            <w:tcBorders>
              <w:top w:val="single" w:color="000000" w:sz="4" w:space="0"/>
              <w:left w:val="single" w:color="auto" w:sz="4" w:space="0"/>
              <w:bottom w:val="single" w:color="000000" w:sz="4" w:space="0"/>
              <w:right w:val="single" w:color="000000" w:sz="4" w:space="0"/>
            </w:tcBorders>
            <w:noWrap w:val="0"/>
            <w:vAlign w:val="center"/>
          </w:tcPr>
          <w:p w14:paraId="485D409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2</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0E6DB24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新开直播电商服务、幼儿保育、智能网联汽车技术应用等5个新兴专业。</w:t>
            </w:r>
          </w:p>
        </w:tc>
      </w:tr>
      <w:tr w14:paraId="0E685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14:paraId="666439D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p>
        </w:tc>
        <w:tc>
          <w:tcPr>
            <w:tcW w:w="208" w:type="pct"/>
            <w:vMerge w:val="continue"/>
            <w:tcBorders>
              <w:top w:val="single" w:color="auto" w:sz="4" w:space="0"/>
              <w:left w:val="single" w:color="auto" w:sz="4" w:space="0"/>
              <w:bottom w:val="single" w:color="auto" w:sz="4" w:space="0"/>
              <w:right w:val="single" w:color="auto" w:sz="4" w:space="0"/>
            </w:tcBorders>
            <w:noWrap w:val="0"/>
            <w:vAlign w:val="center"/>
          </w:tcPr>
          <w:p w14:paraId="332E97B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p>
        </w:tc>
        <w:tc>
          <w:tcPr>
            <w:tcW w:w="377" w:type="pct"/>
            <w:tcBorders>
              <w:top w:val="single" w:color="auto" w:sz="4" w:space="0"/>
              <w:left w:val="single" w:color="auto" w:sz="4" w:space="0"/>
              <w:bottom w:val="single" w:color="000000" w:sz="4" w:space="0"/>
              <w:right w:val="single" w:color="000000" w:sz="4" w:space="0"/>
            </w:tcBorders>
            <w:noWrap w:val="0"/>
            <w:vAlign w:val="center"/>
          </w:tcPr>
          <w:p w14:paraId="44F8206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重点项目完成情况</w:t>
            </w:r>
          </w:p>
        </w:tc>
        <w:tc>
          <w:tcPr>
            <w:tcW w:w="176" w:type="pct"/>
            <w:tcBorders>
              <w:top w:val="single" w:color="auto" w:sz="4" w:space="0"/>
              <w:left w:val="single" w:color="000000" w:sz="4" w:space="0"/>
              <w:bottom w:val="single" w:color="000000" w:sz="4" w:space="0"/>
              <w:right w:val="single" w:color="000000" w:sz="4" w:space="0"/>
            </w:tcBorders>
            <w:noWrap w:val="0"/>
            <w:vAlign w:val="center"/>
          </w:tcPr>
          <w:p w14:paraId="0003D022">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4</w:t>
            </w:r>
          </w:p>
        </w:tc>
        <w:tc>
          <w:tcPr>
            <w:tcW w:w="1229" w:type="pct"/>
            <w:vMerge w:val="continue"/>
            <w:tcBorders>
              <w:top w:val="single" w:color="auto" w:sz="4" w:space="0"/>
              <w:left w:val="single" w:color="000000" w:sz="4" w:space="0"/>
              <w:bottom w:val="single" w:color="000000" w:sz="4" w:space="0"/>
              <w:right w:val="single" w:color="auto" w:sz="4" w:space="0"/>
            </w:tcBorders>
            <w:noWrap w:val="0"/>
            <w:vAlign w:val="center"/>
          </w:tcPr>
          <w:p w14:paraId="2876C054">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p>
        </w:tc>
        <w:tc>
          <w:tcPr>
            <w:tcW w:w="1545" w:type="pct"/>
            <w:tcBorders>
              <w:top w:val="single" w:color="auto" w:sz="4" w:space="0"/>
              <w:left w:val="single" w:color="auto" w:sz="4" w:space="0"/>
              <w:bottom w:val="single" w:color="000000" w:sz="4" w:space="0"/>
              <w:right w:val="single" w:color="000000" w:sz="4" w:space="0"/>
            </w:tcBorders>
            <w:noWrap w:val="0"/>
            <w:vAlign w:val="center"/>
          </w:tcPr>
          <w:p w14:paraId="05DC0129">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10个及以上计4分；每少一个扣0.5分，扣完为止。</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4EB2687C">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4</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605775AF">
            <w:pPr>
              <w:keepNext w:val="0"/>
              <w:keepLines w:val="0"/>
              <w:pageBreakBefore w:val="0"/>
              <w:widowControl/>
              <w:suppressLineNumbers w:val="0"/>
              <w:tabs>
                <w:tab w:val="left" w:pos="468"/>
              </w:tabs>
              <w:kinsoku/>
              <w:wordWrap/>
              <w:overflowPunct/>
              <w:topLinePunct w:val="0"/>
              <w:bidi w:val="0"/>
              <w:adjustRightInd w:val="0"/>
              <w:snapToGrid w:val="0"/>
              <w:ind w:left="-63" w:leftChars="-30" w:right="-63" w:rightChars="-30"/>
              <w:jc w:val="left"/>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学院成功申报4个市级项目；7个省级项目；3个国家级项目。</w:t>
            </w:r>
          </w:p>
        </w:tc>
      </w:tr>
      <w:tr w14:paraId="30475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14:paraId="32ABBD1F">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restart"/>
            <w:tcBorders>
              <w:top w:val="single" w:color="auto" w:sz="4" w:space="0"/>
              <w:left w:val="single" w:color="auto" w:sz="4" w:space="0"/>
              <w:bottom w:val="single" w:color="auto" w:sz="4" w:space="0"/>
              <w:right w:val="single" w:color="auto" w:sz="4" w:space="0"/>
            </w:tcBorders>
            <w:noWrap w:val="0"/>
            <w:vAlign w:val="center"/>
          </w:tcPr>
          <w:p w14:paraId="5B30C55A">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i w:val="0"/>
                <w:iCs w:val="0"/>
                <w:color w:val="auto"/>
                <w:kern w:val="0"/>
                <w:sz w:val="20"/>
                <w:szCs w:val="20"/>
                <w:u w:val="none"/>
                <w:lang w:val="en-US" w:eastAsia="zh-CN" w:bidi="ar"/>
              </w:rPr>
              <w:t>完成                及时性</w:t>
            </w:r>
          </w:p>
        </w:tc>
        <w:tc>
          <w:tcPr>
            <w:tcW w:w="377" w:type="pct"/>
            <w:tcBorders>
              <w:top w:val="single" w:color="000000" w:sz="4" w:space="0"/>
              <w:left w:val="single" w:color="auto" w:sz="4" w:space="0"/>
              <w:bottom w:val="single" w:color="000000" w:sz="4" w:space="0"/>
              <w:right w:val="single" w:color="000000" w:sz="4" w:space="0"/>
            </w:tcBorders>
            <w:noWrap w:val="0"/>
            <w:vAlign w:val="center"/>
          </w:tcPr>
          <w:p w14:paraId="154A7741">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lang w:val="en-US"/>
              </w:rPr>
            </w:pPr>
            <w:r>
              <w:rPr>
                <w:rFonts w:hint="default" w:ascii="Times New Roman" w:hAnsi="Times New Roman" w:eastAsia="仿宋_GB2312" w:cs="Times New Roman"/>
                <w:i w:val="0"/>
                <w:iCs w:val="0"/>
                <w:color w:val="auto"/>
                <w:kern w:val="0"/>
                <w:sz w:val="20"/>
                <w:szCs w:val="20"/>
                <w:u w:val="none"/>
                <w:lang w:val="en-US" w:eastAsia="zh-CN" w:bidi="ar"/>
              </w:rPr>
              <w:t>重点工作完成及时率</w:t>
            </w:r>
          </w:p>
        </w:tc>
        <w:tc>
          <w:tcPr>
            <w:tcW w:w="176" w:type="pct"/>
            <w:tcBorders>
              <w:top w:val="single" w:color="000000" w:sz="4" w:space="0"/>
              <w:left w:val="single" w:color="000000" w:sz="4" w:space="0"/>
              <w:bottom w:val="single" w:color="000000" w:sz="4" w:space="0"/>
              <w:right w:val="single" w:color="000000" w:sz="4" w:space="0"/>
            </w:tcBorders>
            <w:noWrap w:val="0"/>
            <w:vAlign w:val="center"/>
          </w:tcPr>
          <w:p w14:paraId="62AB16E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i w:val="0"/>
                <w:iCs w:val="0"/>
                <w:color w:val="auto"/>
                <w:kern w:val="0"/>
                <w:sz w:val="20"/>
                <w:szCs w:val="20"/>
                <w:u w:val="none"/>
                <w:lang w:val="en-US" w:eastAsia="zh-CN" w:bidi="ar"/>
              </w:rPr>
              <w:t>4</w:t>
            </w:r>
          </w:p>
        </w:tc>
        <w:tc>
          <w:tcPr>
            <w:tcW w:w="1229" w:type="pct"/>
            <w:vMerge w:val="restart"/>
            <w:tcBorders>
              <w:top w:val="single" w:color="000000" w:sz="4" w:space="0"/>
              <w:left w:val="single" w:color="000000" w:sz="4" w:space="0"/>
              <w:right w:val="single" w:color="000000" w:sz="4" w:space="0"/>
            </w:tcBorders>
            <w:noWrap w:val="0"/>
            <w:vAlign w:val="center"/>
          </w:tcPr>
          <w:p w14:paraId="7C31A22F">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部门在规定时限内及时完成的实际工作数与计划工作数的比率，用以反映和考核部门履职实效目标的实现程度。</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63260DF7">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 xml:space="preserve">完成及时率=（及时完成实际工作数/计划工作数）*100%。及时完成工作数：部门按照整体绩效目标确定的时限实际完成的工作任务数量。每降低1%扣0.1分，扣完为止。    </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63E4C7A1">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4</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7F29697C">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招生、培训、新开专业及时。</w:t>
            </w:r>
          </w:p>
        </w:tc>
      </w:tr>
      <w:tr w14:paraId="76F26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14:paraId="33F4224D">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vMerge w:val="continue"/>
            <w:tcBorders>
              <w:top w:val="single" w:color="auto" w:sz="4" w:space="0"/>
              <w:left w:val="single" w:color="auto" w:sz="4" w:space="0"/>
              <w:bottom w:val="single" w:color="auto" w:sz="4" w:space="0"/>
              <w:right w:val="single" w:color="auto" w:sz="4" w:space="0"/>
            </w:tcBorders>
            <w:noWrap w:val="0"/>
            <w:vAlign w:val="center"/>
          </w:tcPr>
          <w:p w14:paraId="60608BB6">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p>
        </w:tc>
        <w:tc>
          <w:tcPr>
            <w:tcW w:w="377" w:type="pct"/>
            <w:tcBorders>
              <w:top w:val="single" w:color="000000" w:sz="4" w:space="0"/>
              <w:left w:val="single" w:color="auto" w:sz="4" w:space="0"/>
              <w:bottom w:val="single" w:color="000000" w:sz="4" w:space="0"/>
              <w:right w:val="single" w:color="000000" w:sz="4" w:space="0"/>
            </w:tcBorders>
            <w:noWrap w:val="0"/>
            <w:vAlign w:val="center"/>
          </w:tcPr>
          <w:p w14:paraId="1D2C1CD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重点项目完成及时率</w:t>
            </w:r>
          </w:p>
        </w:tc>
        <w:tc>
          <w:tcPr>
            <w:tcW w:w="176" w:type="pct"/>
            <w:tcBorders>
              <w:top w:val="single" w:color="000000" w:sz="4" w:space="0"/>
              <w:left w:val="single" w:color="000000" w:sz="4" w:space="0"/>
              <w:bottom w:val="single" w:color="000000" w:sz="4" w:space="0"/>
              <w:right w:val="single" w:color="000000" w:sz="4" w:space="0"/>
            </w:tcBorders>
            <w:noWrap w:val="0"/>
            <w:vAlign w:val="center"/>
          </w:tcPr>
          <w:p w14:paraId="6F62F5D9">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4</w:t>
            </w:r>
          </w:p>
        </w:tc>
        <w:tc>
          <w:tcPr>
            <w:tcW w:w="1229" w:type="pct"/>
            <w:vMerge w:val="continue"/>
            <w:tcBorders>
              <w:left w:val="single" w:color="000000" w:sz="4" w:space="0"/>
              <w:bottom w:val="single" w:color="000000" w:sz="4" w:space="0"/>
              <w:right w:val="single" w:color="000000" w:sz="4" w:space="0"/>
            </w:tcBorders>
            <w:noWrap w:val="0"/>
            <w:vAlign w:val="center"/>
          </w:tcPr>
          <w:p w14:paraId="0CC5E013">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5C99474E">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发现一个重点项目进度严重滞后，扣1分，扣完为止。</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0BF2D84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3</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47286A23">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高技能人才培训基地配套设施建设项目进度滞后，扣1分。</w:t>
            </w:r>
          </w:p>
        </w:tc>
      </w:tr>
      <w:tr w14:paraId="37B3E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6"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14:paraId="3C07F89D">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tcBorders>
              <w:top w:val="single" w:color="auto" w:sz="4" w:space="0"/>
              <w:left w:val="single" w:color="auto" w:sz="4" w:space="0"/>
              <w:bottom w:val="single" w:color="auto" w:sz="4" w:space="0"/>
              <w:right w:val="single" w:color="auto" w:sz="4" w:space="0"/>
            </w:tcBorders>
            <w:noWrap w:val="0"/>
            <w:vAlign w:val="center"/>
          </w:tcPr>
          <w:p w14:paraId="4BB404B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i w:val="0"/>
                <w:iCs w:val="0"/>
                <w:color w:val="auto"/>
                <w:kern w:val="0"/>
                <w:sz w:val="20"/>
                <w:szCs w:val="20"/>
                <w:u w:val="none"/>
                <w:lang w:val="en-US" w:eastAsia="zh-CN" w:bidi="ar"/>
              </w:rPr>
              <w:t>质量                      达标率</w:t>
            </w:r>
          </w:p>
        </w:tc>
        <w:tc>
          <w:tcPr>
            <w:tcW w:w="377" w:type="pct"/>
            <w:tcBorders>
              <w:top w:val="single" w:color="000000" w:sz="4" w:space="0"/>
              <w:left w:val="single" w:color="auto" w:sz="4" w:space="0"/>
              <w:bottom w:val="single" w:color="000000" w:sz="4" w:space="0"/>
              <w:right w:val="single" w:color="000000" w:sz="4" w:space="0"/>
            </w:tcBorders>
            <w:noWrap w:val="0"/>
            <w:vAlign w:val="center"/>
          </w:tcPr>
          <w:p w14:paraId="655ED0CD">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lang w:val="en-US"/>
              </w:rPr>
            </w:pPr>
            <w:r>
              <w:rPr>
                <w:rFonts w:hint="default" w:ascii="Times New Roman" w:hAnsi="Times New Roman" w:eastAsia="仿宋_GB2312" w:cs="Times New Roman"/>
                <w:i w:val="0"/>
                <w:iCs w:val="0"/>
                <w:color w:val="auto"/>
                <w:kern w:val="0"/>
                <w:sz w:val="20"/>
                <w:szCs w:val="20"/>
                <w:u w:val="none"/>
                <w:lang w:val="en-US" w:eastAsia="zh-CN" w:bidi="ar"/>
              </w:rPr>
              <w:t>重点建设项目验收合格率及主要工作达标率</w:t>
            </w:r>
          </w:p>
        </w:tc>
        <w:tc>
          <w:tcPr>
            <w:tcW w:w="176" w:type="pct"/>
            <w:tcBorders>
              <w:top w:val="single" w:color="000000" w:sz="4" w:space="0"/>
              <w:left w:val="single" w:color="000000" w:sz="4" w:space="0"/>
              <w:bottom w:val="single" w:color="000000" w:sz="4" w:space="0"/>
              <w:right w:val="single" w:color="000000" w:sz="4" w:space="0"/>
            </w:tcBorders>
            <w:noWrap w:val="0"/>
            <w:vAlign w:val="center"/>
          </w:tcPr>
          <w:p w14:paraId="1E8D182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i w:val="0"/>
                <w:iCs w:val="0"/>
                <w:color w:val="auto"/>
                <w:kern w:val="0"/>
                <w:sz w:val="20"/>
                <w:szCs w:val="20"/>
                <w:u w:val="none"/>
                <w:lang w:val="en-US" w:eastAsia="zh-CN" w:bidi="ar"/>
              </w:rPr>
              <w:t>8</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37458DCD">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达到质量标准（绩效标准值）的实际工作数与计划工作数的比率，用以反映和考核部门履职时效目标的实</w:t>
            </w:r>
            <w:r>
              <w:rPr>
                <w:rFonts w:hint="default" w:ascii="Times New Roman" w:hAnsi="Times New Roman" w:eastAsia="仿宋_GB2312" w:cs="Times New Roman"/>
                <w:i w:val="0"/>
                <w:iCs w:val="0"/>
                <w:color w:val="auto"/>
                <w:kern w:val="0"/>
                <w:sz w:val="20"/>
                <w:szCs w:val="20"/>
                <w:u w:val="none"/>
                <w:lang w:val="en-US" w:eastAsia="zh-CN" w:bidi="ar"/>
              </w:rPr>
              <w:t>现程度。</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4A1B2068">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质量达标率=（质量达标实际工作数/计划工作数）*100%。质量达标实际工作数：一定时期（年度或规划期）内部门实际完成工作数中达到部门绩效目标要求（绩效标准值）的工作任务数量。</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54CB8685">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8</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0BFEACF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未发现项目存在相关质量问题。</w:t>
            </w:r>
          </w:p>
        </w:tc>
      </w:tr>
      <w:tr w14:paraId="0F60F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jc w:val="center"/>
        </w:trPr>
        <w:tc>
          <w:tcPr>
            <w:tcW w:w="269" w:type="pct"/>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377D4FC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效益  （18分）</w:t>
            </w:r>
          </w:p>
        </w:tc>
        <w:tc>
          <w:tcPr>
            <w:tcW w:w="20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0669467">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经济</w:t>
            </w:r>
          </w:p>
          <w:p w14:paraId="3212C57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i w:val="0"/>
                <w:iCs w:val="0"/>
                <w:color w:val="auto"/>
                <w:kern w:val="0"/>
                <w:sz w:val="20"/>
                <w:szCs w:val="20"/>
                <w:u w:val="none"/>
                <w:lang w:val="en-US" w:eastAsia="zh-CN" w:bidi="ar"/>
              </w:rPr>
              <w:t>效益</w:t>
            </w:r>
          </w:p>
        </w:tc>
        <w:tc>
          <w:tcPr>
            <w:tcW w:w="37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BAA8082">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lang w:val="en-US"/>
              </w:rPr>
            </w:pPr>
            <w:r>
              <w:rPr>
                <w:rFonts w:hint="default" w:ascii="Times New Roman" w:hAnsi="Times New Roman" w:eastAsia="仿宋_GB2312" w:cs="Times New Roman"/>
                <w:i w:val="0"/>
                <w:iCs w:val="0"/>
                <w:color w:val="auto"/>
                <w:kern w:val="0"/>
                <w:sz w:val="20"/>
                <w:szCs w:val="20"/>
                <w:u w:val="none"/>
                <w:lang w:val="en-US" w:eastAsia="zh-CN" w:bidi="ar"/>
              </w:rPr>
              <w:t>毕业学生就业率</w:t>
            </w:r>
          </w:p>
        </w:tc>
        <w:tc>
          <w:tcPr>
            <w:tcW w:w="176"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57F4629F">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i w:val="0"/>
                <w:iCs w:val="0"/>
                <w:color w:val="auto"/>
                <w:kern w:val="0"/>
                <w:sz w:val="20"/>
                <w:szCs w:val="20"/>
                <w:u w:val="none"/>
                <w:lang w:val="en-US" w:eastAsia="zh-CN" w:bidi="ar"/>
              </w:rPr>
              <w:t>9</w:t>
            </w: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ED7509">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部门履行职责对经济发展所带来的直接或间接影响</w:t>
            </w:r>
          </w:p>
        </w:tc>
        <w:tc>
          <w:tcPr>
            <w:tcW w:w="154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385CCF">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95%以上(含)计9分；每下降1%扣0.5分，扣完为止。</w:t>
            </w:r>
          </w:p>
          <w:p w14:paraId="2CDFD5FC">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292B6ED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9</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2078833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本年度毕业2352人，初次就业2312人，就业率达98.3%，其中本地占比44.65%，长三角占比14.37%，珠三角占比24.49%，专业对口率88.61%。</w:t>
            </w:r>
          </w:p>
        </w:tc>
      </w:tr>
      <w:tr w14:paraId="24C60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jc w:val="center"/>
        </w:trPr>
        <w:tc>
          <w:tcPr>
            <w:tcW w:w="269" w:type="pct"/>
            <w:vMerge w:val="continue"/>
            <w:tcBorders>
              <w:top w:val="single" w:color="auto" w:sz="4" w:space="0"/>
              <w:left w:val="single" w:color="auto" w:sz="4" w:space="0"/>
              <w:right w:val="single" w:color="000000" w:sz="4" w:space="0"/>
            </w:tcBorders>
            <w:noWrap w:val="0"/>
            <w:vAlign w:val="center"/>
          </w:tcPr>
          <w:p w14:paraId="7CC17A60">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18"/>
                <w:szCs w:val="18"/>
                <w:u w:val="none"/>
              </w:rPr>
            </w:pPr>
          </w:p>
        </w:tc>
        <w:tc>
          <w:tcPr>
            <w:tcW w:w="208" w:type="pct"/>
            <w:tcBorders>
              <w:top w:val="single" w:color="auto" w:sz="4" w:space="0"/>
              <w:left w:val="single" w:color="000000" w:sz="4" w:space="0"/>
              <w:bottom w:val="single" w:color="000000" w:sz="4" w:space="0"/>
              <w:right w:val="single" w:color="000000" w:sz="4" w:space="0"/>
            </w:tcBorders>
            <w:noWrap w:val="0"/>
            <w:vAlign w:val="center"/>
          </w:tcPr>
          <w:p w14:paraId="4F94AFE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社会</w:t>
            </w:r>
          </w:p>
          <w:p w14:paraId="3DEFE153">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i w:val="0"/>
                <w:iCs w:val="0"/>
                <w:color w:val="auto"/>
                <w:kern w:val="0"/>
                <w:sz w:val="20"/>
                <w:szCs w:val="20"/>
                <w:u w:val="none"/>
                <w:lang w:val="en-US" w:eastAsia="zh-CN" w:bidi="ar"/>
              </w:rPr>
              <w:t>效益</w:t>
            </w:r>
          </w:p>
        </w:tc>
        <w:tc>
          <w:tcPr>
            <w:tcW w:w="377" w:type="pct"/>
            <w:tcBorders>
              <w:top w:val="single" w:color="auto" w:sz="4" w:space="0"/>
              <w:left w:val="single" w:color="000000" w:sz="4" w:space="0"/>
              <w:bottom w:val="single" w:color="000000" w:sz="4" w:space="0"/>
              <w:right w:val="single" w:color="000000" w:sz="4" w:space="0"/>
            </w:tcBorders>
            <w:noWrap w:val="0"/>
            <w:vAlign w:val="center"/>
          </w:tcPr>
          <w:p w14:paraId="267AFB79">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lang w:val="en-US"/>
              </w:rPr>
            </w:pPr>
            <w:r>
              <w:rPr>
                <w:rFonts w:hint="default" w:ascii="Times New Roman" w:hAnsi="Times New Roman" w:eastAsia="仿宋_GB2312" w:cs="Times New Roman"/>
                <w:i w:val="0"/>
                <w:iCs w:val="0"/>
                <w:color w:val="auto"/>
                <w:kern w:val="0"/>
                <w:sz w:val="20"/>
                <w:szCs w:val="20"/>
                <w:u w:val="none"/>
                <w:lang w:val="en-US" w:eastAsia="zh-CN" w:bidi="ar"/>
              </w:rPr>
              <w:t>技能特色，竞赛引领效果</w:t>
            </w:r>
          </w:p>
        </w:tc>
        <w:tc>
          <w:tcPr>
            <w:tcW w:w="176" w:type="pct"/>
            <w:tcBorders>
              <w:top w:val="single" w:color="000000" w:sz="4" w:space="0"/>
              <w:left w:val="single" w:color="000000" w:sz="4" w:space="0"/>
              <w:bottom w:val="single" w:color="000000" w:sz="4" w:space="0"/>
              <w:right w:val="single" w:color="000000" w:sz="4" w:space="0"/>
            </w:tcBorders>
            <w:noWrap w:val="0"/>
            <w:vAlign w:val="center"/>
          </w:tcPr>
          <w:p w14:paraId="18E0456D">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lang w:val="en-US"/>
              </w:rPr>
            </w:pPr>
            <w:r>
              <w:rPr>
                <w:rFonts w:hint="default" w:ascii="Times New Roman" w:hAnsi="Times New Roman" w:eastAsia="仿宋_GB2312" w:cs="Times New Roman"/>
                <w:i w:val="0"/>
                <w:iCs w:val="0"/>
                <w:color w:val="auto"/>
                <w:kern w:val="0"/>
                <w:sz w:val="20"/>
                <w:szCs w:val="20"/>
                <w:u w:val="none"/>
                <w:lang w:val="en-US" w:eastAsia="zh-CN" w:bidi="ar"/>
              </w:rPr>
              <w:t>9</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3EEDF0A2">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部门履行职责对社会发展所带来的直接或间接影响</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170A34E0">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效果显著，得9分;效果较显著，得7-9分;效果一般，得5-7分;效果不够显著，得5分以下。</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06C0EEF7">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9</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4E2B4E53">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2022年共获得国家级奖项5个，省级奖项130个，市级奖项16个，效果显著。</w:t>
            </w:r>
          </w:p>
        </w:tc>
      </w:tr>
      <w:tr w14:paraId="53428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5" w:hRule="atLeast"/>
          <w:jc w:val="center"/>
        </w:trPr>
        <w:tc>
          <w:tcPr>
            <w:tcW w:w="269" w:type="pct"/>
            <w:vMerge w:val="restart"/>
            <w:tcBorders>
              <w:top w:val="single" w:color="000000" w:sz="4" w:space="0"/>
              <w:left w:val="single" w:color="000000" w:sz="4" w:space="0"/>
              <w:right w:val="single" w:color="000000" w:sz="4" w:space="0"/>
            </w:tcBorders>
            <w:noWrap w:val="0"/>
            <w:vAlign w:val="center"/>
          </w:tcPr>
          <w:p w14:paraId="23C8BE4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18"/>
                <w:szCs w:val="18"/>
                <w:u w:val="none"/>
              </w:rPr>
            </w:pPr>
            <w:r>
              <w:rPr>
                <w:rFonts w:hint="default" w:ascii="Times New Roman" w:hAnsi="Times New Roman" w:eastAsia="仿宋_GB2312" w:cs="Times New Roman"/>
                <w:i w:val="0"/>
                <w:iCs w:val="0"/>
                <w:color w:val="auto"/>
                <w:kern w:val="0"/>
                <w:sz w:val="18"/>
                <w:szCs w:val="18"/>
                <w:u w:val="none"/>
                <w:lang w:val="en-US" w:eastAsia="zh-CN" w:bidi="ar"/>
              </w:rPr>
              <w:t>满意度         （10分）</w:t>
            </w:r>
          </w:p>
        </w:tc>
        <w:tc>
          <w:tcPr>
            <w:tcW w:w="208" w:type="pct"/>
            <w:vMerge w:val="restart"/>
            <w:tcBorders>
              <w:top w:val="single" w:color="000000" w:sz="4" w:space="0"/>
              <w:left w:val="single" w:color="000000" w:sz="4" w:space="0"/>
              <w:right w:val="single" w:color="000000" w:sz="4" w:space="0"/>
            </w:tcBorders>
            <w:noWrap w:val="0"/>
            <w:vAlign w:val="center"/>
          </w:tcPr>
          <w:p w14:paraId="7E97B813">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i w:val="0"/>
                <w:iCs w:val="0"/>
                <w:color w:val="auto"/>
                <w:kern w:val="0"/>
                <w:sz w:val="20"/>
                <w:szCs w:val="20"/>
                <w:u w:val="none"/>
                <w:lang w:val="en-US" w:eastAsia="zh-CN" w:bidi="ar"/>
              </w:rPr>
              <w:t>学生和教职工满意度</w:t>
            </w:r>
          </w:p>
        </w:tc>
        <w:tc>
          <w:tcPr>
            <w:tcW w:w="377" w:type="pct"/>
            <w:tcBorders>
              <w:top w:val="single" w:color="000000" w:sz="4" w:space="0"/>
              <w:left w:val="single" w:color="000000" w:sz="4" w:space="0"/>
              <w:bottom w:val="single" w:color="000000" w:sz="4" w:space="0"/>
              <w:right w:val="single" w:color="000000" w:sz="4" w:space="0"/>
            </w:tcBorders>
            <w:noWrap w:val="0"/>
            <w:vAlign w:val="center"/>
          </w:tcPr>
          <w:p w14:paraId="270B9A9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i w:val="0"/>
                <w:iCs w:val="0"/>
                <w:color w:val="auto"/>
                <w:kern w:val="0"/>
                <w:sz w:val="20"/>
                <w:szCs w:val="20"/>
                <w:u w:val="none"/>
                <w:lang w:val="en-US" w:eastAsia="zh-CN" w:bidi="ar"/>
              </w:rPr>
              <w:t>学生满意度</w:t>
            </w:r>
          </w:p>
        </w:tc>
        <w:tc>
          <w:tcPr>
            <w:tcW w:w="176" w:type="pct"/>
            <w:tcBorders>
              <w:top w:val="single" w:color="000000" w:sz="4" w:space="0"/>
              <w:left w:val="single" w:color="000000" w:sz="4" w:space="0"/>
              <w:bottom w:val="single" w:color="000000" w:sz="4" w:space="0"/>
              <w:right w:val="single" w:color="000000" w:sz="4" w:space="0"/>
            </w:tcBorders>
            <w:noWrap w:val="0"/>
            <w:vAlign w:val="center"/>
          </w:tcPr>
          <w:p w14:paraId="411D80EE">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lang w:val="en-US"/>
              </w:rPr>
            </w:pPr>
            <w:r>
              <w:rPr>
                <w:rFonts w:hint="default" w:ascii="Times New Roman" w:hAnsi="Times New Roman" w:eastAsia="仿宋_GB2312" w:cs="Times New Roman"/>
                <w:i w:val="0"/>
                <w:iCs w:val="0"/>
                <w:color w:val="auto"/>
                <w:kern w:val="0"/>
                <w:sz w:val="20"/>
                <w:szCs w:val="20"/>
                <w:u w:val="none"/>
                <w:lang w:val="en-US" w:eastAsia="zh-CN" w:bidi="ar"/>
              </w:rPr>
              <w:t>6</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75AEA466">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学生对部门履职效果的满意程度</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334A36A5">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满意度90%以上，计6分；每下降1%，扣0.2分，扣完为止。</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0C25C76D">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4.8</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7CBA5BC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共收集1729份有效问券，学生满意度84.02%，扣1.2分。</w:t>
            </w:r>
          </w:p>
        </w:tc>
      </w:tr>
      <w:tr w14:paraId="19037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jc w:val="center"/>
        </w:trPr>
        <w:tc>
          <w:tcPr>
            <w:tcW w:w="269" w:type="pct"/>
            <w:vMerge w:val="continue"/>
            <w:tcBorders>
              <w:left w:val="single" w:color="000000" w:sz="4" w:space="0"/>
              <w:bottom w:val="single" w:color="000000" w:sz="4" w:space="0"/>
              <w:right w:val="single" w:color="000000" w:sz="4" w:space="0"/>
            </w:tcBorders>
            <w:noWrap w:val="0"/>
            <w:vAlign w:val="center"/>
          </w:tcPr>
          <w:p w14:paraId="2403A05C">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18"/>
                <w:szCs w:val="18"/>
                <w:u w:val="none"/>
                <w:lang w:val="en-US" w:eastAsia="zh-CN" w:bidi="ar"/>
              </w:rPr>
            </w:pPr>
          </w:p>
        </w:tc>
        <w:tc>
          <w:tcPr>
            <w:tcW w:w="208" w:type="pct"/>
            <w:vMerge w:val="continue"/>
            <w:tcBorders>
              <w:left w:val="single" w:color="000000" w:sz="4" w:space="0"/>
              <w:bottom w:val="single" w:color="000000" w:sz="4" w:space="0"/>
              <w:right w:val="single" w:color="000000" w:sz="4" w:space="0"/>
            </w:tcBorders>
            <w:noWrap w:val="0"/>
            <w:vAlign w:val="center"/>
          </w:tcPr>
          <w:p w14:paraId="4A4C7799">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14:paraId="0EE569E0">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教职工满意度</w:t>
            </w:r>
          </w:p>
        </w:tc>
        <w:tc>
          <w:tcPr>
            <w:tcW w:w="176" w:type="pct"/>
            <w:tcBorders>
              <w:top w:val="single" w:color="000000" w:sz="4" w:space="0"/>
              <w:left w:val="single" w:color="000000" w:sz="4" w:space="0"/>
              <w:bottom w:val="single" w:color="000000" w:sz="4" w:space="0"/>
              <w:right w:val="single" w:color="000000" w:sz="4" w:space="0"/>
            </w:tcBorders>
            <w:noWrap w:val="0"/>
            <w:vAlign w:val="center"/>
          </w:tcPr>
          <w:p w14:paraId="4469AC53">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4</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160A226C">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教职工对部门履职效果的满意程度</w:t>
            </w: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4DCECADF">
            <w:pPr>
              <w:keepNext w:val="0"/>
              <w:keepLines w:val="0"/>
              <w:pageBreakBefore w:val="0"/>
              <w:widowControl/>
              <w:suppressLineNumbers w:val="0"/>
              <w:kinsoku/>
              <w:wordWrap/>
              <w:overflowPunct/>
              <w:topLinePunct w:val="0"/>
              <w:bidi w:val="0"/>
              <w:adjustRightInd w:val="0"/>
              <w:snapToGrid w:val="0"/>
              <w:ind w:left="-63" w:leftChars="-30" w:right="-63" w:rightChars="-30"/>
              <w:jc w:val="left"/>
              <w:textAlignment w:val="center"/>
              <w:rPr>
                <w:rFonts w:hint="default" w:ascii="Times New Roman" w:hAnsi="Times New Roman" w:eastAsia="仿宋_GB2312" w:cs="Times New Roman"/>
                <w:i w:val="0"/>
                <w:iCs w:val="0"/>
                <w:color w:val="auto"/>
                <w:kern w:val="0"/>
                <w:sz w:val="18"/>
                <w:szCs w:val="18"/>
                <w:u w:val="none"/>
                <w:lang w:val="en-US" w:eastAsia="zh-CN" w:bidi="ar"/>
              </w:rPr>
            </w:pPr>
            <w:r>
              <w:rPr>
                <w:rFonts w:hint="default" w:ascii="Times New Roman" w:hAnsi="Times New Roman" w:eastAsia="仿宋_GB2312" w:cs="Times New Roman"/>
                <w:i w:val="0"/>
                <w:iCs w:val="0"/>
                <w:color w:val="auto"/>
                <w:kern w:val="0"/>
                <w:sz w:val="18"/>
                <w:szCs w:val="18"/>
                <w:u w:val="none"/>
                <w:lang w:val="en-US" w:eastAsia="zh-CN" w:bidi="ar"/>
              </w:rPr>
              <w:t>满意度90%以上，计4分；每下降1%，扣0.2分，扣完为止。</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442790C1">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r>
              <w:rPr>
                <w:rFonts w:hint="default" w:ascii="Times New Roman" w:hAnsi="Times New Roman" w:eastAsia="仿宋_GB2312" w:cs="Times New Roman"/>
                <w:i w:val="0"/>
                <w:iCs w:val="0"/>
                <w:color w:val="auto"/>
                <w:kern w:val="0"/>
                <w:sz w:val="20"/>
                <w:szCs w:val="20"/>
                <w:u w:val="none"/>
                <w:lang w:val="en-US" w:eastAsia="zh-CN" w:bidi="ar"/>
              </w:rPr>
              <w:t>3.8</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42CE91F0">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color w:val="auto"/>
                <w:sz w:val="21"/>
                <w:szCs w:val="21"/>
                <w:lang w:val="en-US" w:eastAsia="zh-CN" w:bidi="ar"/>
              </w:rPr>
            </w:pPr>
            <w:r>
              <w:rPr>
                <w:rStyle w:val="14"/>
                <w:rFonts w:hint="default" w:ascii="Times New Roman" w:hAnsi="Times New Roman" w:eastAsia="仿宋_GB2312" w:cs="Times New Roman"/>
                <w:color w:val="auto"/>
                <w:sz w:val="21"/>
                <w:szCs w:val="21"/>
                <w:lang w:val="en-US" w:eastAsia="zh-CN" w:bidi="ar"/>
              </w:rPr>
              <w:t>共收集288份有效问券，教职工满意度89.18%，扣0.2分。</w:t>
            </w:r>
          </w:p>
        </w:tc>
      </w:tr>
      <w:tr w14:paraId="04B12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269" w:type="pct"/>
            <w:tcBorders>
              <w:top w:val="single" w:color="000000" w:sz="4" w:space="0"/>
              <w:left w:val="single" w:color="000000" w:sz="4" w:space="0"/>
              <w:bottom w:val="single" w:color="000000" w:sz="4" w:space="0"/>
              <w:right w:val="single" w:color="000000" w:sz="4" w:space="0"/>
            </w:tcBorders>
            <w:noWrap/>
            <w:vAlign w:val="center"/>
          </w:tcPr>
          <w:p w14:paraId="43B74A92">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合计</w:t>
            </w:r>
          </w:p>
        </w:tc>
        <w:tc>
          <w:tcPr>
            <w:tcW w:w="208" w:type="pct"/>
            <w:tcBorders>
              <w:top w:val="single" w:color="000000" w:sz="4" w:space="0"/>
              <w:left w:val="single" w:color="000000" w:sz="4" w:space="0"/>
              <w:bottom w:val="single" w:color="000000" w:sz="4" w:space="0"/>
              <w:right w:val="single" w:color="000000" w:sz="4" w:space="0"/>
            </w:tcBorders>
            <w:noWrap/>
            <w:vAlign w:val="center"/>
          </w:tcPr>
          <w:p w14:paraId="68A7C9E4">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22"/>
                <w:szCs w:val="22"/>
                <w:u w:val="none"/>
              </w:rPr>
            </w:pPr>
          </w:p>
        </w:tc>
        <w:tc>
          <w:tcPr>
            <w:tcW w:w="377" w:type="pct"/>
            <w:tcBorders>
              <w:top w:val="single" w:color="000000" w:sz="4" w:space="0"/>
              <w:left w:val="single" w:color="000000" w:sz="4" w:space="0"/>
              <w:bottom w:val="single" w:color="000000" w:sz="4" w:space="0"/>
              <w:right w:val="single" w:color="000000" w:sz="4" w:space="0"/>
            </w:tcBorders>
            <w:noWrap w:val="0"/>
            <w:vAlign w:val="center"/>
          </w:tcPr>
          <w:p w14:paraId="576D5362">
            <w:pPr>
              <w:keepNext w:val="0"/>
              <w:keepLines w:val="0"/>
              <w:pageBreakBefore w:val="0"/>
              <w:widowControl/>
              <w:kinsoku/>
              <w:wordWrap/>
              <w:overflowPunct/>
              <w:topLinePunct w:val="0"/>
              <w:bidi w:val="0"/>
              <w:adjustRightInd w:val="0"/>
              <w:snapToGrid w:val="0"/>
              <w:ind w:left="-63" w:leftChars="-30" w:right="-63" w:rightChars="-30"/>
              <w:jc w:val="center"/>
              <w:rPr>
                <w:rFonts w:hint="default" w:ascii="Times New Roman" w:hAnsi="Times New Roman" w:eastAsia="仿宋_GB2312" w:cs="Times New Roman"/>
                <w:i w:val="0"/>
                <w:iCs w:val="0"/>
                <w:color w:val="auto"/>
                <w:sz w:val="20"/>
                <w:szCs w:val="20"/>
                <w:u w:val="none"/>
              </w:rPr>
            </w:pPr>
          </w:p>
        </w:tc>
        <w:tc>
          <w:tcPr>
            <w:tcW w:w="176" w:type="pct"/>
            <w:tcBorders>
              <w:top w:val="single" w:color="000000" w:sz="4" w:space="0"/>
              <w:left w:val="single" w:color="000000" w:sz="4" w:space="0"/>
              <w:bottom w:val="single" w:color="000000" w:sz="4" w:space="0"/>
              <w:right w:val="single" w:color="000000" w:sz="4" w:space="0"/>
            </w:tcBorders>
            <w:noWrap w:val="0"/>
            <w:vAlign w:val="center"/>
          </w:tcPr>
          <w:p w14:paraId="3D4BEC78">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sz w:val="20"/>
                <w:szCs w:val="20"/>
                <w:u w:val="none"/>
              </w:rPr>
            </w:pPr>
            <w:r>
              <w:rPr>
                <w:rFonts w:hint="default" w:ascii="Times New Roman" w:hAnsi="Times New Roman" w:eastAsia="仿宋_GB2312" w:cs="Times New Roman"/>
                <w:b/>
                <w:bCs/>
                <w:i w:val="0"/>
                <w:iCs w:val="0"/>
                <w:color w:val="auto"/>
                <w:kern w:val="0"/>
                <w:sz w:val="20"/>
                <w:szCs w:val="20"/>
                <w:u w:val="none"/>
                <w:lang w:val="en-US" w:eastAsia="zh-CN" w:bidi="ar"/>
              </w:rPr>
              <w:t>100</w:t>
            </w:r>
          </w:p>
        </w:tc>
        <w:tc>
          <w:tcPr>
            <w:tcW w:w="1229" w:type="pct"/>
            <w:tcBorders>
              <w:top w:val="single" w:color="000000" w:sz="4" w:space="0"/>
              <w:left w:val="single" w:color="000000" w:sz="4" w:space="0"/>
              <w:bottom w:val="single" w:color="000000" w:sz="4" w:space="0"/>
              <w:right w:val="single" w:color="000000" w:sz="4" w:space="0"/>
            </w:tcBorders>
            <w:noWrap w:val="0"/>
            <w:vAlign w:val="center"/>
          </w:tcPr>
          <w:p w14:paraId="3B687789">
            <w:pPr>
              <w:keepNext w:val="0"/>
              <w:keepLines w:val="0"/>
              <w:pageBreakBefore w:val="0"/>
              <w:widowControl/>
              <w:kinsoku/>
              <w:wordWrap/>
              <w:overflowPunct/>
              <w:topLinePunct w:val="0"/>
              <w:bidi w:val="0"/>
              <w:adjustRightInd w:val="0"/>
              <w:snapToGrid w:val="0"/>
              <w:ind w:left="-63" w:leftChars="-30" w:right="-63" w:rightChars="-30"/>
              <w:jc w:val="left"/>
              <w:rPr>
                <w:rFonts w:hint="default" w:ascii="Times New Roman" w:hAnsi="Times New Roman" w:eastAsia="仿宋_GB2312" w:cs="Times New Roman"/>
                <w:i w:val="0"/>
                <w:iCs w:val="0"/>
                <w:color w:val="auto"/>
                <w:sz w:val="20"/>
                <w:szCs w:val="20"/>
                <w:u w:val="none"/>
              </w:rPr>
            </w:pPr>
          </w:p>
        </w:tc>
        <w:tc>
          <w:tcPr>
            <w:tcW w:w="1545" w:type="pct"/>
            <w:tcBorders>
              <w:top w:val="single" w:color="000000" w:sz="4" w:space="0"/>
              <w:left w:val="single" w:color="000000" w:sz="4" w:space="0"/>
              <w:bottom w:val="single" w:color="000000" w:sz="4" w:space="0"/>
              <w:right w:val="single" w:color="000000" w:sz="4" w:space="0"/>
            </w:tcBorders>
            <w:noWrap w:val="0"/>
            <w:vAlign w:val="center"/>
          </w:tcPr>
          <w:p w14:paraId="0CB46F1D">
            <w:pPr>
              <w:keepNext w:val="0"/>
              <w:keepLines w:val="0"/>
              <w:pageBreakBefore w:val="0"/>
              <w:widowControl/>
              <w:kinsoku/>
              <w:wordWrap/>
              <w:overflowPunct/>
              <w:topLinePunct w:val="0"/>
              <w:bidi w:val="0"/>
              <w:adjustRightInd w:val="0"/>
              <w:snapToGrid w:val="0"/>
              <w:ind w:left="-63" w:leftChars="-30" w:right="-63" w:rightChars="-30"/>
              <w:jc w:val="both"/>
              <w:rPr>
                <w:rFonts w:hint="default" w:ascii="Times New Roman" w:hAnsi="Times New Roman" w:eastAsia="仿宋_GB2312" w:cs="Times New Roman"/>
                <w:i w:val="0"/>
                <w:iCs w:val="0"/>
                <w:color w:val="auto"/>
                <w:sz w:val="20"/>
                <w:szCs w:val="20"/>
                <w:u w:val="none"/>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321604D4">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Style w:val="14"/>
                <w:rFonts w:hint="default" w:ascii="Times New Roman" w:hAnsi="Times New Roman" w:eastAsia="仿宋_GB2312" w:cs="Times New Roman"/>
                <w:b/>
                <w:bCs/>
                <w:color w:val="auto"/>
                <w:lang w:val="en-US" w:eastAsia="zh-CN" w:bidi="ar"/>
              </w:rPr>
            </w:pPr>
            <w:r>
              <w:rPr>
                <w:rStyle w:val="14"/>
                <w:rFonts w:hint="default" w:ascii="Times New Roman" w:hAnsi="Times New Roman" w:eastAsia="仿宋_GB2312" w:cs="Times New Roman"/>
                <w:b/>
                <w:bCs/>
                <w:color w:val="auto"/>
                <w:lang w:val="en-US" w:eastAsia="zh-CN" w:bidi="ar"/>
              </w:rPr>
              <w:t>80.1</w:t>
            </w:r>
          </w:p>
        </w:tc>
        <w:tc>
          <w:tcPr>
            <w:tcW w:w="1012" w:type="pct"/>
            <w:tcBorders>
              <w:top w:val="single" w:color="000000" w:sz="4" w:space="0"/>
              <w:left w:val="single" w:color="000000" w:sz="4" w:space="0"/>
              <w:bottom w:val="single" w:color="000000" w:sz="4" w:space="0"/>
              <w:right w:val="single" w:color="000000" w:sz="4" w:space="0"/>
            </w:tcBorders>
            <w:noWrap w:val="0"/>
            <w:vAlign w:val="center"/>
          </w:tcPr>
          <w:p w14:paraId="1AAAF08B">
            <w:pPr>
              <w:keepNext w:val="0"/>
              <w:keepLines w:val="0"/>
              <w:pageBreakBefore w:val="0"/>
              <w:widowControl/>
              <w:suppressLineNumbers w:val="0"/>
              <w:kinsoku/>
              <w:wordWrap/>
              <w:overflowPunct/>
              <w:topLinePunct w:val="0"/>
              <w:bidi w:val="0"/>
              <w:adjustRightInd w:val="0"/>
              <w:snapToGrid w:val="0"/>
              <w:ind w:left="-63" w:leftChars="-30" w:right="-63" w:rightChars="-30"/>
              <w:jc w:val="center"/>
              <w:textAlignment w:val="center"/>
              <w:rPr>
                <w:rFonts w:hint="default" w:ascii="Times New Roman" w:hAnsi="Times New Roman" w:eastAsia="仿宋_GB2312" w:cs="Times New Roman"/>
                <w:i w:val="0"/>
                <w:iCs w:val="0"/>
                <w:color w:val="auto"/>
                <w:kern w:val="0"/>
                <w:sz w:val="20"/>
                <w:szCs w:val="20"/>
                <w:u w:val="none"/>
                <w:lang w:val="en-US" w:eastAsia="zh-CN" w:bidi="ar"/>
              </w:rPr>
            </w:pPr>
          </w:p>
        </w:tc>
      </w:tr>
    </w:tbl>
    <w:p w14:paraId="0438A8C7">
      <w:pPr>
        <w:pStyle w:val="8"/>
        <w:rPr>
          <w:rFonts w:hint="default" w:ascii="Times New Roman" w:hAnsi="Times New Roman" w:cs="Times New Roman"/>
          <w:color w:val="auto"/>
          <w:lang w:val="en-US" w:eastAsia="zh-CN"/>
        </w:rPr>
      </w:pPr>
    </w:p>
    <w:p w14:paraId="6600695F">
      <w:pPr>
        <w:pStyle w:val="3"/>
        <w:rPr>
          <w:rFonts w:hint="default" w:ascii="Times New Roman" w:hAnsi="Times New Roman" w:cs="Times New Roman"/>
          <w:color w:val="auto"/>
          <w:lang w:val="en-US" w:eastAsia="zh-CN"/>
        </w:rPr>
      </w:pPr>
    </w:p>
    <w:sectPr>
      <w:footerReference r:id="rId6" w:type="default"/>
      <w:pgSz w:w="16838" w:h="11906" w:orient="landscape"/>
      <w:pgMar w:top="1576" w:right="1440" w:bottom="1576" w:left="1440" w:header="851" w:footer="992" w:gutter="0"/>
      <w:pgNumType w:fmt="numberInDash"/>
      <w:cols w:space="0" w:num="1"/>
      <w:rtlGutter w:val="0"/>
      <w:docGrid w:type="lines" w:linePitch="31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MS Gothic">
    <w:panose1 w:val="020B0609070205080204"/>
    <w:charset w:val="80"/>
    <w:family w:val="auto"/>
    <w:pitch w:val="default"/>
    <w:sig w:usb0="E00002FF" w:usb1="6AC7FDFB" w:usb2="08000012" w:usb3="00000000" w:csb0="4002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EF0C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666D69">
                          <w:pPr>
                            <w:pStyle w:val="5"/>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8666D69">
                    <w:pPr>
                      <w:pStyle w:val="5"/>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98D57">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2D8851">
                          <w:pPr>
                            <w:pStyle w:val="5"/>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42D8851">
                    <w:pPr>
                      <w:pStyle w:val="5"/>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pPr>
      <w:r>
        <w:separator/>
      </w:r>
    </w:p>
  </w:footnote>
  <w:footnote w:type="continuationSeparator" w:id="3">
    <w:p>
      <w:pPr>
        <w:spacing w:line="240" w:lineRule="auto"/>
      </w:pPr>
      <w:r>
        <w:continuationSeparator/>
      </w:r>
    </w:p>
  </w:footnote>
  <w:footnote w:id="0">
    <w:p w14:paraId="28C6E364">
      <w:pPr>
        <w:pStyle w:val="8"/>
        <w:snapToGrid w:val="0"/>
        <w:rPr>
          <w:rFonts w:hint="default" w:eastAsia="宋体"/>
          <w:lang w:val="en-US" w:eastAsia="zh-CN"/>
        </w:rPr>
      </w:pPr>
      <w:r>
        <w:rPr>
          <w:rStyle w:val="12"/>
        </w:rPr>
        <w:footnoteRef/>
      </w:r>
      <w:r>
        <w:t xml:space="preserve"> </w:t>
      </w:r>
      <w:r>
        <w:rPr>
          <w:rFonts w:hint="eastAsia" w:eastAsia="宋体"/>
          <w:lang w:val="en-US" w:eastAsia="zh-CN"/>
        </w:rPr>
        <w:t>2022年技师学院专项债支出3920.38万元（不含专项债资金银行手续费0.09万元）、偿还银行贷款本金821.57万元，未包含在决算金额内。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DEABF3"/>
    <w:multiLevelType w:val="singleLevel"/>
    <w:tmpl w:val="C0DEABF3"/>
    <w:lvl w:ilvl="0" w:tentative="0">
      <w:start w:val="3"/>
      <w:numFmt w:val="decimal"/>
      <w:suff w:val="nothing"/>
      <w:lvlText w:val="（%1）"/>
      <w:lvlJc w:val="left"/>
    </w:lvl>
  </w:abstractNum>
  <w:abstractNum w:abstractNumId="1">
    <w:nsid w:val="20F70FCB"/>
    <w:multiLevelType w:val="singleLevel"/>
    <w:tmpl w:val="20F70FCB"/>
    <w:lvl w:ilvl="0" w:tentative="0">
      <w:start w:val="5"/>
      <w:numFmt w:val="chineseCounting"/>
      <w:suff w:val="nothing"/>
      <w:lvlText w:val="%1、"/>
      <w:lvlJc w:val="left"/>
      <w:rPr>
        <w:rFonts w:hint="eastAsia"/>
      </w:rPr>
    </w:lvl>
  </w:abstractNum>
  <w:abstractNum w:abstractNumId="2">
    <w:nsid w:val="2450E546"/>
    <w:multiLevelType w:val="singleLevel"/>
    <w:tmpl w:val="2450E546"/>
    <w:lvl w:ilvl="0" w:tentative="0">
      <w:start w:val="1"/>
      <w:numFmt w:val="chineseCounting"/>
      <w:suff w:val="nothing"/>
      <w:lvlText w:val="（%1）"/>
      <w:lvlJc w:val="left"/>
      <w:rPr>
        <w:rFonts w:hint="eastAsia"/>
      </w:rPr>
    </w:lvl>
  </w:abstractNum>
  <w:abstractNum w:abstractNumId="3">
    <w:nsid w:val="72BD074D"/>
    <w:multiLevelType w:val="singleLevel"/>
    <w:tmpl w:val="72BD074D"/>
    <w:lvl w:ilvl="0" w:tentative="0">
      <w:start w:val="4"/>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kYmVmNzcyZGNmYmM0MTU3MjkzMDFiMDc4YjhlMzMifQ=="/>
  </w:docVars>
  <w:rsids>
    <w:rsidRoot w:val="00172A27"/>
    <w:rsid w:val="00301CD1"/>
    <w:rsid w:val="00E923C5"/>
    <w:rsid w:val="011E145A"/>
    <w:rsid w:val="01521C8D"/>
    <w:rsid w:val="015A3576"/>
    <w:rsid w:val="01AC5108"/>
    <w:rsid w:val="03932BE6"/>
    <w:rsid w:val="03B629A7"/>
    <w:rsid w:val="04602913"/>
    <w:rsid w:val="04853571"/>
    <w:rsid w:val="053B5E84"/>
    <w:rsid w:val="05514D82"/>
    <w:rsid w:val="05D368CA"/>
    <w:rsid w:val="061F3FCD"/>
    <w:rsid w:val="072A41CF"/>
    <w:rsid w:val="07353F56"/>
    <w:rsid w:val="07790334"/>
    <w:rsid w:val="07EE4A01"/>
    <w:rsid w:val="081D168C"/>
    <w:rsid w:val="08502E39"/>
    <w:rsid w:val="086602F2"/>
    <w:rsid w:val="088C3A7B"/>
    <w:rsid w:val="08E507CD"/>
    <w:rsid w:val="08E84249"/>
    <w:rsid w:val="092E1A43"/>
    <w:rsid w:val="09471DC4"/>
    <w:rsid w:val="09C0022F"/>
    <w:rsid w:val="09CE37FB"/>
    <w:rsid w:val="0A2368BD"/>
    <w:rsid w:val="0A434869"/>
    <w:rsid w:val="0A943BA0"/>
    <w:rsid w:val="0ABA2124"/>
    <w:rsid w:val="0C447B35"/>
    <w:rsid w:val="0C7F5388"/>
    <w:rsid w:val="0CC24854"/>
    <w:rsid w:val="0D0A074E"/>
    <w:rsid w:val="0D6D476C"/>
    <w:rsid w:val="0EFE4EFA"/>
    <w:rsid w:val="0F0D7CC0"/>
    <w:rsid w:val="0F1A7D5E"/>
    <w:rsid w:val="0F7C2CF7"/>
    <w:rsid w:val="0F9F0794"/>
    <w:rsid w:val="104E02CD"/>
    <w:rsid w:val="10590573"/>
    <w:rsid w:val="10601AC0"/>
    <w:rsid w:val="10E448A1"/>
    <w:rsid w:val="117F261E"/>
    <w:rsid w:val="11B945E7"/>
    <w:rsid w:val="12124EEF"/>
    <w:rsid w:val="126161D4"/>
    <w:rsid w:val="130B23FF"/>
    <w:rsid w:val="138E6B24"/>
    <w:rsid w:val="13AA3B19"/>
    <w:rsid w:val="13F113F9"/>
    <w:rsid w:val="14025795"/>
    <w:rsid w:val="143650E7"/>
    <w:rsid w:val="14ED6A57"/>
    <w:rsid w:val="154F0566"/>
    <w:rsid w:val="15634727"/>
    <w:rsid w:val="15857633"/>
    <w:rsid w:val="15A00DC2"/>
    <w:rsid w:val="16AE4A37"/>
    <w:rsid w:val="17143815"/>
    <w:rsid w:val="177E46F0"/>
    <w:rsid w:val="17B34A6B"/>
    <w:rsid w:val="1824170A"/>
    <w:rsid w:val="18A0022D"/>
    <w:rsid w:val="18D56FD4"/>
    <w:rsid w:val="192166BD"/>
    <w:rsid w:val="192B3CA2"/>
    <w:rsid w:val="19A35324"/>
    <w:rsid w:val="1AA77DE7"/>
    <w:rsid w:val="1AEB70B2"/>
    <w:rsid w:val="1B5763C6"/>
    <w:rsid w:val="1B833F1E"/>
    <w:rsid w:val="1B897FE4"/>
    <w:rsid w:val="1C623275"/>
    <w:rsid w:val="1C9E5AB0"/>
    <w:rsid w:val="1CC622F2"/>
    <w:rsid w:val="1CD67763"/>
    <w:rsid w:val="1CDC3027"/>
    <w:rsid w:val="1D016023"/>
    <w:rsid w:val="1D0875D0"/>
    <w:rsid w:val="1D4B1F5B"/>
    <w:rsid w:val="1D5A3F4C"/>
    <w:rsid w:val="1D840FC9"/>
    <w:rsid w:val="1D93644C"/>
    <w:rsid w:val="1DEE019F"/>
    <w:rsid w:val="1E7B6870"/>
    <w:rsid w:val="1EA53A8D"/>
    <w:rsid w:val="1EA85DD1"/>
    <w:rsid w:val="1F876F0E"/>
    <w:rsid w:val="1FA261F1"/>
    <w:rsid w:val="20BD316F"/>
    <w:rsid w:val="214E39D9"/>
    <w:rsid w:val="225E003A"/>
    <w:rsid w:val="22AA14D2"/>
    <w:rsid w:val="22B12860"/>
    <w:rsid w:val="22D327D6"/>
    <w:rsid w:val="235540C0"/>
    <w:rsid w:val="235919D7"/>
    <w:rsid w:val="23A73825"/>
    <w:rsid w:val="2472601F"/>
    <w:rsid w:val="24AA38A8"/>
    <w:rsid w:val="24C30629"/>
    <w:rsid w:val="251A61EE"/>
    <w:rsid w:val="2530390F"/>
    <w:rsid w:val="25335AB7"/>
    <w:rsid w:val="253908EB"/>
    <w:rsid w:val="25703CFB"/>
    <w:rsid w:val="26364547"/>
    <w:rsid w:val="265C0626"/>
    <w:rsid w:val="27932534"/>
    <w:rsid w:val="28043432"/>
    <w:rsid w:val="2895453F"/>
    <w:rsid w:val="29233D8C"/>
    <w:rsid w:val="29482DB4"/>
    <w:rsid w:val="29E41F74"/>
    <w:rsid w:val="2A021BF3"/>
    <w:rsid w:val="2A180C97"/>
    <w:rsid w:val="2A961A01"/>
    <w:rsid w:val="2AA72062"/>
    <w:rsid w:val="2AD92954"/>
    <w:rsid w:val="2AE02EAC"/>
    <w:rsid w:val="2B5B3A4F"/>
    <w:rsid w:val="2B5B6959"/>
    <w:rsid w:val="2D1C121E"/>
    <w:rsid w:val="2DA153AF"/>
    <w:rsid w:val="2E6A602D"/>
    <w:rsid w:val="2F096FA3"/>
    <w:rsid w:val="31584F08"/>
    <w:rsid w:val="31731558"/>
    <w:rsid w:val="319C46DB"/>
    <w:rsid w:val="32B560BA"/>
    <w:rsid w:val="330D5C27"/>
    <w:rsid w:val="33200673"/>
    <w:rsid w:val="33751688"/>
    <w:rsid w:val="33D1107B"/>
    <w:rsid w:val="33F84753"/>
    <w:rsid w:val="34477B36"/>
    <w:rsid w:val="349E709D"/>
    <w:rsid w:val="34B97E88"/>
    <w:rsid w:val="34CA5049"/>
    <w:rsid w:val="35122EE6"/>
    <w:rsid w:val="351837F2"/>
    <w:rsid w:val="353F5AA9"/>
    <w:rsid w:val="36A75BEB"/>
    <w:rsid w:val="3735762B"/>
    <w:rsid w:val="37AE13A6"/>
    <w:rsid w:val="37CE1367"/>
    <w:rsid w:val="38054592"/>
    <w:rsid w:val="382C2F15"/>
    <w:rsid w:val="387708A5"/>
    <w:rsid w:val="39702395"/>
    <w:rsid w:val="39761CB6"/>
    <w:rsid w:val="39904B26"/>
    <w:rsid w:val="39CC0C76"/>
    <w:rsid w:val="3A9C14D3"/>
    <w:rsid w:val="3ADE4AA0"/>
    <w:rsid w:val="3B410CC4"/>
    <w:rsid w:val="3BF21AC7"/>
    <w:rsid w:val="3C3545FF"/>
    <w:rsid w:val="3C4A6C0F"/>
    <w:rsid w:val="3C597D99"/>
    <w:rsid w:val="3C714335"/>
    <w:rsid w:val="3C97441D"/>
    <w:rsid w:val="3D94095C"/>
    <w:rsid w:val="3F176A5E"/>
    <w:rsid w:val="3F641BC2"/>
    <w:rsid w:val="403703F1"/>
    <w:rsid w:val="40680582"/>
    <w:rsid w:val="40BE3EC9"/>
    <w:rsid w:val="40F736DC"/>
    <w:rsid w:val="421A23EB"/>
    <w:rsid w:val="42743EF8"/>
    <w:rsid w:val="434346AE"/>
    <w:rsid w:val="4389705D"/>
    <w:rsid w:val="43EF4102"/>
    <w:rsid w:val="43F839F3"/>
    <w:rsid w:val="45435B94"/>
    <w:rsid w:val="466977DD"/>
    <w:rsid w:val="47431429"/>
    <w:rsid w:val="47D468CA"/>
    <w:rsid w:val="48561630"/>
    <w:rsid w:val="48813B73"/>
    <w:rsid w:val="489B67DB"/>
    <w:rsid w:val="48D27A3B"/>
    <w:rsid w:val="4942090B"/>
    <w:rsid w:val="495E42BD"/>
    <w:rsid w:val="49CF30CA"/>
    <w:rsid w:val="4A057471"/>
    <w:rsid w:val="4A094045"/>
    <w:rsid w:val="4A3E3EA5"/>
    <w:rsid w:val="4A7E7D90"/>
    <w:rsid w:val="4AC17116"/>
    <w:rsid w:val="4B360910"/>
    <w:rsid w:val="4C8638F9"/>
    <w:rsid w:val="4D896779"/>
    <w:rsid w:val="4E0F02B7"/>
    <w:rsid w:val="4E571C5E"/>
    <w:rsid w:val="4F1E7B46"/>
    <w:rsid w:val="4F745983"/>
    <w:rsid w:val="4F7D4202"/>
    <w:rsid w:val="50040042"/>
    <w:rsid w:val="502E2D98"/>
    <w:rsid w:val="512E314A"/>
    <w:rsid w:val="51A90A23"/>
    <w:rsid w:val="52293E3A"/>
    <w:rsid w:val="523C749C"/>
    <w:rsid w:val="52860D64"/>
    <w:rsid w:val="529415BE"/>
    <w:rsid w:val="52992845"/>
    <w:rsid w:val="52BC74A2"/>
    <w:rsid w:val="52EA411F"/>
    <w:rsid w:val="52EC5A8E"/>
    <w:rsid w:val="534529CD"/>
    <w:rsid w:val="53AA789D"/>
    <w:rsid w:val="53B77F0C"/>
    <w:rsid w:val="54336CC9"/>
    <w:rsid w:val="54600F48"/>
    <w:rsid w:val="5463135D"/>
    <w:rsid w:val="54663EF6"/>
    <w:rsid w:val="547E44A7"/>
    <w:rsid w:val="54E06785"/>
    <w:rsid w:val="54E30DF6"/>
    <w:rsid w:val="554B352D"/>
    <w:rsid w:val="55A74996"/>
    <w:rsid w:val="55CF2ECB"/>
    <w:rsid w:val="565151E5"/>
    <w:rsid w:val="5700455C"/>
    <w:rsid w:val="57A53A3A"/>
    <w:rsid w:val="586454E5"/>
    <w:rsid w:val="59AA5338"/>
    <w:rsid w:val="5A336288"/>
    <w:rsid w:val="5A3E0EEF"/>
    <w:rsid w:val="5B3C6463"/>
    <w:rsid w:val="5B863B83"/>
    <w:rsid w:val="5B9E1213"/>
    <w:rsid w:val="5BB0752C"/>
    <w:rsid w:val="5C544CE8"/>
    <w:rsid w:val="5CA63BA2"/>
    <w:rsid w:val="5E1938D4"/>
    <w:rsid w:val="5E400323"/>
    <w:rsid w:val="5E693A13"/>
    <w:rsid w:val="5F02634F"/>
    <w:rsid w:val="603C33F7"/>
    <w:rsid w:val="607218F0"/>
    <w:rsid w:val="60BB130F"/>
    <w:rsid w:val="60E6325A"/>
    <w:rsid w:val="60EB34D1"/>
    <w:rsid w:val="61207037"/>
    <w:rsid w:val="61577355"/>
    <w:rsid w:val="616650F5"/>
    <w:rsid w:val="61BA74B3"/>
    <w:rsid w:val="624E034C"/>
    <w:rsid w:val="625247BE"/>
    <w:rsid w:val="62E23D94"/>
    <w:rsid w:val="62F31980"/>
    <w:rsid w:val="632058D7"/>
    <w:rsid w:val="63702A4C"/>
    <w:rsid w:val="644D7933"/>
    <w:rsid w:val="64D400D7"/>
    <w:rsid w:val="650B5B08"/>
    <w:rsid w:val="653A2CD0"/>
    <w:rsid w:val="66BB6DD6"/>
    <w:rsid w:val="66D97C92"/>
    <w:rsid w:val="673C7CD4"/>
    <w:rsid w:val="67683ED3"/>
    <w:rsid w:val="67DF13E8"/>
    <w:rsid w:val="67E10ABE"/>
    <w:rsid w:val="68126ECA"/>
    <w:rsid w:val="682137F6"/>
    <w:rsid w:val="686A24F6"/>
    <w:rsid w:val="68AB1A5B"/>
    <w:rsid w:val="6925696D"/>
    <w:rsid w:val="69D5787F"/>
    <w:rsid w:val="6B013226"/>
    <w:rsid w:val="6C5506F2"/>
    <w:rsid w:val="6C690941"/>
    <w:rsid w:val="6DF1228E"/>
    <w:rsid w:val="6E3D4575"/>
    <w:rsid w:val="6E6164B5"/>
    <w:rsid w:val="6E7A7577"/>
    <w:rsid w:val="6F170107"/>
    <w:rsid w:val="6F963F3C"/>
    <w:rsid w:val="70AB49DA"/>
    <w:rsid w:val="71135346"/>
    <w:rsid w:val="7121017E"/>
    <w:rsid w:val="71FB6B90"/>
    <w:rsid w:val="7346211D"/>
    <w:rsid w:val="746F1200"/>
    <w:rsid w:val="761563F8"/>
    <w:rsid w:val="764F5BA4"/>
    <w:rsid w:val="77035F1E"/>
    <w:rsid w:val="77942E4E"/>
    <w:rsid w:val="77C75732"/>
    <w:rsid w:val="77F3130B"/>
    <w:rsid w:val="78643D1B"/>
    <w:rsid w:val="7973117E"/>
    <w:rsid w:val="79DF4732"/>
    <w:rsid w:val="7A2569B2"/>
    <w:rsid w:val="7A861051"/>
    <w:rsid w:val="7A9E53FE"/>
    <w:rsid w:val="7AB27306"/>
    <w:rsid w:val="7B503B39"/>
    <w:rsid w:val="7B742A28"/>
    <w:rsid w:val="7B7A178C"/>
    <w:rsid w:val="7BB60494"/>
    <w:rsid w:val="7D2248FE"/>
    <w:rsid w:val="7D71275B"/>
    <w:rsid w:val="7D8B5C0C"/>
    <w:rsid w:val="7DF023F3"/>
    <w:rsid w:val="7E0B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Body Text"/>
    <w:basedOn w:val="1"/>
    <w:next w:val="1"/>
    <w:qFormat/>
    <w:uiPriority w:val="0"/>
    <w:pPr>
      <w:snapToGrid w:val="0"/>
      <w:spacing w:line="579" w:lineRule="exact"/>
    </w:pPr>
    <w:rPr>
      <w:rFonts w:eastAsia="仿宋_GB2312"/>
      <w:sz w:val="32"/>
    </w:rPr>
  </w:style>
  <w:style w:type="paragraph" w:styleId="4">
    <w:name w:val="Body Text Indent 2"/>
    <w:basedOn w:val="1"/>
    <w:unhideWhenUsed/>
    <w:qFormat/>
    <w:uiPriority w:val="0"/>
    <w:pPr>
      <w:spacing w:beforeLines="0" w:afterLines="0" w:line="480" w:lineRule="auto"/>
      <w:ind w:left="420" w:leftChars="200"/>
    </w:pPr>
    <w:rPr>
      <w:rFonts w:hint="default"/>
      <w:sz w:val="21"/>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unhideWhenUsed/>
    <w:qFormat/>
    <w:uiPriority w:val="39"/>
    <w:pPr>
      <w:spacing w:beforeLines="0" w:afterLines="0"/>
    </w:pPr>
    <w:rPr>
      <w:rFonts w:hint="default"/>
      <w:sz w:val="24"/>
      <w:szCs w:val="24"/>
    </w:rPr>
  </w:style>
  <w:style w:type="paragraph" w:styleId="8">
    <w:name w:val="footnote text"/>
    <w:basedOn w:val="1"/>
    <w:next w:val="3"/>
    <w:unhideWhenUsed/>
    <w:qFormat/>
    <w:uiPriority w:val="99"/>
    <w:pPr>
      <w:snapToGrid w:val="0"/>
      <w:jc w:val="left"/>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otnote reference"/>
    <w:basedOn w:val="11"/>
    <w:qFormat/>
    <w:uiPriority w:val="0"/>
    <w:rPr>
      <w:vertAlign w:val="superscript"/>
    </w:rPr>
  </w:style>
  <w:style w:type="character" w:customStyle="1" w:styleId="13">
    <w:name w:val="font61"/>
    <w:basedOn w:val="11"/>
    <w:qFormat/>
    <w:uiPriority w:val="0"/>
    <w:rPr>
      <w:rFonts w:hint="default" w:ascii="Arial" w:hAnsi="Arial" w:cs="Arial"/>
      <w:color w:val="000000"/>
      <w:sz w:val="21"/>
      <w:szCs w:val="21"/>
      <w:u w:val="none"/>
    </w:rPr>
  </w:style>
  <w:style w:type="character" w:customStyle="1" w:styleId="14">
    <w:name w:val="font01"/>
    <w:basedOn w:val="11"/>
    <w:qFormat/>
    <w:uiPriority w:val="0"/>
    <w:rPr>
      <w:rFonts w:hint="eastAsia" w:ascii="宋体" w:hAnsi="宋体" w:eastAsia="宋体" w:cs="宋体"/>
      <w:color w:val="000000"/>
      <w:sz w:val="18"/>
      <w:szCs w:val="18"/>
      <w:u w:val="none"/>
    </w:rPr>
  </w:style>
  <w:style w:type="character" w:customStyle="1" w:styleId="15">
    <w:name w:val="font41"/>
    <w:basedOn w:val="11"/>
    <w:qFormat/>
    <w:uiPriority w:val="0"/>
    <w:rPr>
      <w:rFonts w:hint="eastAsia" w:ascii="宋体" w:hAnsi="宋体" w:eastAsia="宋体" w:cs="宋体"/>
      <w:color w:val="000000"/>
      <w:sz w:val="20"/>
      <w:szCs w:val="20"/>
      <w:u w:val="none"/>
    </w:rPr>
  </w:style>
  <w:style w:type="character" w:customStyle="1" w:styleId="16">
    <w:name w:val="font11"/>
    <w:basedOn w:val="11"/>
    <w:qFormat/>
    <w:uiPriority w:val="0"/>
    <w:rPr>
      <w:rFonts w:ascii="Arial" w:hAnsi="Arial" w:cs="Arial"/>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5859</Words>
  <Characters>7140</Characters>
  <Lines>0</Lines>
  <Paragraphs>0</Paragraphs>
  <TotalTime>130</TotalTime>
  <ScaleCrop>false</ScaleCrop>
  <LinksUpToDate>false</LinksUpToDate>
  <CharactersWithSpaces>7266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2023-05-14T17:47:00Z</dcterms:created>
  <dc:creator>风声水起</dc:creator>
  <cp:lastModifiedBy>邓婷</cp:lastModifiedBy>
  <cp:lastPrinted>2023-12-07T02:58:00Z</cp:lastPrinted>
  <dcterms:modified xsi:type="dcterms:W3CDTF">2024-12-09T08:01:53Z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39E151AD637D4974A69F7F10C5AF9F9E_13</vt:lpwstr>
  </property>
</Properties>
</file>